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1A" w:rsidRDefault="00E31D1A" w:rsidP="00EA70F1">
      <w:pPr>
        <w:jc w:val="center"/>
      </w:pPr>
    </w:p>
    <w:p w:rsidR="00E31D1A" w:rsidRPr="00E31D1A" w:rsidRDefault="00E31D1A" w:rsidP="00EA70F1">
      <w:pPr>
        <w:jc w:val="center"/>
        <w:rPr>
          <w:b/>
        </w:rPr>
      </w:pPr>
    </w:p>
    <w:p w:rsidR="00EA70F1" w:rsidRPr="00F0001B" w:rsidRDefault="00EA70F1" w:rsidP="00EA70F1">
      <w:pPr>
        <w:jc w:val="center"/>
        <w:rPr>
          <w:b/>
        </w:rPr>
      </w:pPr>
      <w:r w:rsidRPr="00F0001B">
        <w:rPr>
          <w:b/>
        </w:rPr>
        <w:t>PENN STATE LAW</w:t>
      </w:r>
    </w:p>
    <w:p w:rsidR="00EA70F1" w:rsidRPr="00F0001B" w:rsidRDefault="00EA70F1" w:rsidP="00EA70F1">
      <w:pPr>
        <w:jc w:val="center"/>
        <w:rPr>
          <w:b/>
        </w:rPr>
      </w:pPr>
    </w:p>
    <w:p w:rsidR="00EA70F1" w:rsidRPr="00F0001B" w:rsidRDefault="00EA70F1" w:rsidP="00EA70F1">
      <w:pPr>
        <w:jc w:val="center"/>
        <w:rPr>
          <w:b/>
        </w:rPr>
      </w:pPr>
      <w:r w:rsidRPr="00F0001B">
        <w:rPr>
          <w:b/>
        </w:rPr>
        <w:t>CENTER FOR THE STUDY OF M&amp;A</w:t>
      </w:r>
    </w:p>
    <w:p w:rsidR="00EA70F1" w:rsidRPr="00F0001B" w:rsidRDefault="00EA70F1" w:rsidP="00EA70F1">
      <w:pPr>
        <w:jc w:val="center"/>
        <w:rPr>
          <w:b/>
        </w:rPr>
      </w:pPr>
    </w:p>
    <w:p w:rsidR="00A11112" w:rsidRPr="00F0001B" w:rsidRDefault="00EA70F1" w:rsidP="00EA70F1">
      <w:pPr>
        <w:jc w:val="center"/>
      </w:pPr>
      <w:r w:rsidRPr="00F0001B">
        <w:rPr>
          <w:b/>
        </w:rPr>
        <w:t>WEBINAR</w:t>
      </w:r>
      <w:r w:rsidRPr="00F0001B">
        <w:t xml:space="preserve">: </w:t>
      </w:r>
      <w:r w:rsidR="00A11112" w:rsidRPr="00F0001B">
        <w:rPr>
          <w:rStyle w:val="Strong"/>
        </w:rPr>
        <w:t xml:space="preserve">NEW TREASURY/IRS TAX INVERSION AND </w:t>
      </w:r>
      <w:r w:rsidR="000F192E">
        <w:rPr>
          <w:rStyle w:val="Strong"/>
        </w:rPr>
        <w:t>SECTION</w:t>
      </w:r>
      <w:r w:rsidR="00A11112" w:rsidRPr="00F0001B">
        <w:rPr>
          <w:rStyle w:val="Strong"/>
        </w:rPr>
        <w:t xml:space="preserve"> 385 INTEREST STRIPPING REGULATIONS</w:t>
      </w:r>
    </w:p>
    <w:p w:rsidR="00EA70F1" w:rsidRPr="00F0001B" w:rsidRDefault="00EA70F1" w:rsidP="00EA70F1">
      <w:pPr>
        <w:jc w:val="center"/>
        <w:rPr>
          <w:b/>
        </w:rPr>
      </w:pPr>
    </w:p>
    <w:p w:rsidR="00421BB8" w:rsidRPr="00F0001B" w:rsidRDefault="00421BB8" w:rsidP="00421BB8">
      <w:pPr>
        <w:jc w:val="center"/>
        <w:rPr>
          <w:b/>
        </w:rPr>
      </w:pPr>
      <w:r w:rsidRPr="00F0001B">
        <w:rPr>
          <w:b/>
        </w:rPr>
        <w:t>A</w:t>
      </w:r>
      <w:r w:rsidR="009C140D">
        <w:rPr>
          <w:b/>
        </w:rPr>
        <w:t xml:space="preserve"> BASIC GUIDE </w:t>
      </w:r>
      <w:r w:rsidRPr="00F0001B">
        <w:rPr>
          <w:b/>
        </w:rPr>
        <w:t>TO THE TREASURY’S APRIL 2016 REGULATIONS ON INVERSIONS AND INTER-COMPANY DEBT</w:t>
      </w:r>
    </w:p>
    <w:p w:rsidR="00421BB8" w:rsidRPr="00F0001B" w:rsidRDefault="00421BB8" w:rsidP="00EA70F1">
      <w:pPr>
        <w:jc w:val="center"/>
        <w:rPr>
          <w:b/>
        </w:rPr>
      </w:pPr>
    </w:p>
    <w:p w:rsidR="00EA70F1" w:rsidRPr="00F0001B" w:rsidRDefault="00EA70F1" w:rsidP="00EA70F1">
      <w:pPr>
        <w:jc w:val="center"/>
        <w:rPr>
          <w:b/>
        </w:rPr>
      </w:pPr>
      <w:r w:rsidRPr="00F0001B">
        <w:rPr>
          <w:b/>
        </w:rPr>
        <w:t>PREPARED BY</w:t>
      </w:r>
    </w:p>
    <w:p w:rsidR="00421BB8" w:rsidRPr="00F0001B" w:rsidRDefault="00421BB8" w:rsidP="00EA70F1">
      <w:pPr>
        <w:jc w:val="center"/>
        <w:rPr>
          <w:b/>
        </w:rPr>
      </w:pPr>
    </w:p>
    <w:p w:rsidR="00EA70F1" w:rsidRPr="00F0001B" w:rsidRDefault="00EA70F1" w:rsidP="00EA70F1">
      <w:pPr>
        <w:jc w:val="center"/>
        <w:rPr>
          <w:b/>
        </w:rPr>
      </w:pPr>
      <w:r w:rsidRPr="00F0001B">
        <w:rPr>
          <w:b/>
        </w:rPr>
        <w:t>SAMUEL C. THOMPSON, JR.</w:t>
      </w:r>
      <w:r w:rsidRPr="00F0001B">
        <w:rPr>
          <w:rStyle w:val="FootnoteReference"/>
          <w:b/>
        </w:rPr>
        <w:footnoteReference w:id="1"/>
      </w:r>
    </w:p>
    <w:p w:rsidR="00EA70F1" w:rsidRPr="00F0001B" w:rsidRDefault="00EA70F1" w:rsidP="00EA70F1">
      <w:pPr>
        <w:jc w:val="center"/>
        <w:rPr>
          <w:b/>
        </w:rPr>
      </w:pPr>
      <w:r w:rsidRPr="00F0001B">
        <w:rPr>
          <w:b/>
        </w:rPr>
        <w:t>PROFESSOR AND DIRECTOR CENTER FOR THE STUDY OF M&amp;A</w:t>
      </w:r>
    </w:p>
    <w:p w:rsidR="00EA70F1" w:rsidRDefault="00EA70F1" w:rsidP="00EA70F1">
      <w:pPr>
        <w:jc w:val="center"/>
        <w:rPr>
          <w:b/>
        </w:rPr>
      </w:pPr>
      <w:r w:rsidRPr="00F0001B">
        <w:rPr>
          <w:b/>
        </w:rPr>
        <w:t xml:space="preserve">DRAFT </w:t>
      </w:r>
      <w:r w:rsidR="00E31D1A" w:rsidRPr="00F0001B">
        <w:rPr>
          <w:b/>
        </w:rPr>
        <w:t>APRIL 2</w:t>
      </w:r>
      <w:r w:rsidR="0072694A">
        <w:rPr>
          <w:b/>
        </w:rPr>
        <w:t>6</w:t>
      </w:r>
      <w:r w:rsidR="00E31D1A" w:rsidRPr="00F0001B">
        <w:rPr>
          <w:b/>
        </w:rPr>
        <w:t>, 2016</w:t>
      </w:r>
    </w:p>
    <w:p w:rsidR="004706D9" w:rsidRDefault="004706D9" w:rsidP="00EA70F1">
      <w:pPr>
        <w:jc w:val="center"/>
        <w:rPr>
          <w:b/>
        </w:rPr>
      </w:pPr>
    </w:p>
    <w:p w:rsidR="004706D9" w:rsidRDefault="004706D9" w:rsidP="00EA70F1">
      <w:pPr>
        <w:jc w:val="center"/>
        <w:rPr>
          <w:b/>
        </w:rPr>
      </w:pPr>
    </w:p>
    <w:p w:rsidR="004706D9" w:rsidRDefault="004706D9" w:rsidP="00EA70F1">
      <w:pPr>
        <w:jc w:val="center"/>
        <w:rPr>
          <w:b/>
        </w:rPr>
      </w:pPr>
    </w:p>
    <w:p w:rsidR="004706D9" w:rsidRDefault="004706D9" w:rsidP="00EA70F1">
      <w:pPr>
        <w:jc w:val="center"/>
        <w:rPr>
          <w:b/>
        </w:rPr>
      </w:pPr>
    </w:p>
    <w:p w:rsidR="004706D9" w:rsidRDefault="004706D9" w:rsidP="00EA70F1">
      <w:pPr>
        <w:jc w:val="center"/>
        <w:rPr>
          <w:b/>
        </w:rPr>
      </w:pPr>
    </w:p>
    <w:p w:rsidR="004706D9" w:rsidRDefault="004706D9" w:rsidP="00EA70F1">
      <w:pPr>
        <w:jc w:val="center"/>
        <w:rPr>
          <w:b/>
        </w:rPr>
      </w:pPr>
    </w:p>
    <w:p w:rsidR="004706D9" w:rsidRDefault="004706D9" w:rsidP="00EA70F1">
      <w:pPr>
        <w:jc w:val="center"/>
        <w:rPr>
          <w:b/>
        </w:rPr>
      </w:pPr>
    </w:p>
    <w:p w:rsidR="004706D9" w:rsidRDefault="004706D9" w:rsidP="00EA70F1">
      <w:pPr>
        <w:jc w:val="center"/>
        <w:rPr>
          <w:b/>
        </w:rPr>
      </w:pPr>
    </w:p>
    <w:p w:rsidR="004706D9" w:rsidRDefault="004706D9" w:rsidP="00EA70F1">
      <w:pPr>
        <w:jc w:val="center"/>
        <w:rPr>
          <w:b/>
        </w:rPr>
      </w:pPr>
    </w:p>
    <w:p w:rsidR="004706D9" w:rsidRDefault="004706D9" w:rsidP="00EA70F1">
      <w:pPr>
        <w:jc w:val="center"/>
        <w:rPr>
          <w:b/>
        </w:rPr>
      </w:pPr>
    </w:p>
    <w:p w:rsidR="004706D9" w:rsidRDefault="004706D9" w:rsidP="00EA70F1">
      <w:pPr>
        <w:jc w:val="center"/>
        <w:rPr>
          <w:b/>
        </w:rPr>
      </w:pPr>
    </w:p>
    <w:p w:rsidR="004706D9" w:rsidRDefault="004706D9" w:rsidP="00EA70F1">
      <w:pPr>
        <w:jc w:val="center"/>
        <w:rPr>
          <w:b/>
        </w:rPr>
      </w:pPr>
    </w:p>
    <w:p w:rsidR="004706D9" w:rsidRDefault="004706D9" w:rsidP="00EA70F1">
      <w:pPr>
        <w:jc w:val="center"/>
        <w:rPr>
          <w:b/>
        </w:rPr>
      </w:pPr>
    </w:p>
    <w:p w:rsidR="004706D9" w:rsidRDefault="004706D9" w:rsidP="00EA70F1">
      <w:pPr>
        <w:jc w:val="center"/>
        <w:rPr>
          <w:b/>
        </w:rPr>
      </w:pPr>
    </w:p>
    <w:p w:rsidR="004706D9" w:rsidRDefault="004706D9" w:rsidP="00EA70F1">
      <w:pPr>
        <w:jc w:val="center"/>
        <w:rPr>
          <w:b/>
        </w:rPr>
      </w:pPr>
    </w:p>
    <w:p w:rsidR="004706D9" w:rsidRDefault="004706D9" w:rsidP="00EA70F1">
      <w:pPr>
        <w:jc w:val="center"/>
        <w:rPr>
          <w:b/>
        </w:rPr>
      </w:pPr>
    </w:p>
    <w:p w:rsidR="004706D9" w:rsidRDefault="004706D9" w:rsidP="00EA70F1">
      <w:pPr>
        <w:jc w:val="center"/>
        <w:rPr>
          <w:b/>
        </w:rPr>
      </w:pPr>
    </w:p>
    <w:p w:rsidR="004706D9" w:rsidRDefault="004706D9" w:rsidP="00EA70F1">
      <w:pPr>
        <w:jc w:val="center"/>
        <w:rPr>
          <w:b/>
        </w:rPr>
      </w:pPr>
    </w:p>
    <w:p w:rsidR="004706D9" w:rsidRDefault="004706D9" w:rsidP="00EA70F1">
      <w:pPr>
        <w:jc w:val="center"/>
        <w:rPr>
          <w:b/>
        </w:rPr>
      </w:pPr>
    </w:p>
    <w:p w:rsidR="004706D9" w:rsidRDefault="004706D9" w:rsidP="00EA70F1">
      <w:pPr>
        <w:jc w:val="center"/>
        <w:rPr>
          <w:b/>
        </w:rPr>
      </w:pPr>
    </w:p>
    <w:p w:rsidR="004706D9" w:rsidRPr="00F0001B" w:rsidRDefault="004706D9" w:rsidP="00EA70F1">
      <w:pPr>
        <w:jc w:val="center"/>
        <w:rPr>
          <w:b/>
        </w:rPr>
      </w:pPr>
      <w:r>
        <w:rPr>
          <w:b/>
        </w:rPr>
        <w:t xml:space="preserve">© Samuel C. Thompson, Jr. </w:t>
      </w:r>
    </w:p>
    <w:p w:rsidR="00EA70F1" w:rsidRDefault="00EA70F1" w:rsidP="007B5D62">
      <w:pPr>
        <w:jc w:val="center"/>
        <w:rPr>
          <w:b/>
        </w:rPr>
      </w:pPr>
    </w:p>
    <w:p w:rsidR="00EA70F1" w:rsidRDefault="00EA70F1" w:rsidP="007B5D62">
      <w:pPr>
        <w:jc w:val="center"/>
        <w:rPr>
          <w:b/>
        </w:rPr>
      </w:pPr>
    </w:p>
    <w:p w:rsidR="007B5D62" w:rsidRDefault="007B5D62"/>
    <w:p w:rsidR="001F3229" w:rsidRDefault="001F3229"/>
    <w:p w:rsidR="001F3229" w:rsidRDefault="001F3229">
      <w:r>
        <w:br w:type="page"/>
      </w:r>
    </w:p>
    <w:p w:rsidR="0072694A" w:rsidRDefault="00F0001B">
      <w:pPr>
        <w:pStyle w:val="TOC1"/>
        <w:tabs>
          <w:tab w:val="left" w:pos="480"/>
          <w:tab w:val="right" w:leader="dot" w:pos="9350"/>
        </w:tabs>
        <w:rPr>
          <w:rFonts w:asciiTheme="minorHAnsi" w:eastAsiaTheme="minorEastAsia" w:hAnsiTheme="minorHAnsi" w:cstheme="minorBidi"/>
          <w:noProof/>
          <w:sz w:val="22"/>
          <w:szCs w:val="22"/>
        </w:rPr>
      </w:pPr>
      <w:r>
        <w:lastRenderedPageBreak/>
        <w:fldChar w:fldCharType="begin"/>
      </w:r>
      <w:r>
        <w:instrText xml:space="preserve"> TOC \o "1-6" \h \z \u </w:instrText>
      </w:r>
      <w:r>
        <w:fldChar w:fldCharType="separate"/>
      </w:r>
      <w:hyperlink w:anchor="_Toc449441977" w:history="1">
        <w:r w:rsidR="0072694A" w:rsidRPr="00925B4F">
          <w:rPr>
            <w:rStyle w:val="Hyperlink"/>
            <w:noProof/>
          </w:rPr>
          <w:t>I</w:t>
        </w:r>
        <w:r w:rsidR="0072694A">
          <w:rPr>
            <w:rFonts w:asciiTheme="minorHAnsi" w:eastAsiaTheme="minorEastAsia" w:hAnsiTheme="minorHAnsi" w:cstheme="minorBidi"/>
            <w:noProof/>
            <w:sz w:val="22"/>
            <w:szCs w:val="22"/>
          </w:rPr>
          <w:tab/>
        </w:r>
        <w:r w:rsidR="0072694A" w:rsidRPr="00925B4F">
          <w:rPr>
            <w:rStyle w:val="Hyperlink"/>
            <w:noProof/>
          </w:rPr>
          <w:t>INTRODUCTION TO THE 2016 TREASURY REGULATIONS: (1) IMPLEMENTING THE 2014 AND 2015 TREASURY NOTICES, AND (2) PROMULGATING REGULATIONS UNDER SECTION 385</w:t>
        </w:r>
        <w:r w:rsidR="0072694A">
          <w:rPr>
            <w:noProof/>
            <w:webHidden/>
          </w:rPr>
          <w:tab/>
        </w:r>
        <w:r w:rsidR="0072694A">
          <w:rPr>
            <w:noProof/>
            <w:webHidden/>
          </w:rPr>
          <w:fldChar w:fldCharType="begin"/>
        </w:r>
        <w:r w:rsidR="0072694A">
          <w:rPr>
            <w:noProof/>
            <w:webHidden/>
          </w:rPr>
          <w:instrText xml:space="preserve"> PAGEREF _Toc449441977 \h </w:instrText>
        </w:r>
        <w:r w:rsidR="0072694A">
          <w:rPr>
            <w:noProof/>
            <w:webHidden/>
          </w:rPr>
        </w:r>
        <w:r w:rsidR="0072694A">
          <w:rPr>
            <w:noProof/>
            <w:webHidden/>
          </w:rPr>
          <w:fldChar w:fldCharType="separate"/>
        </w:r>
        <w:r w:rsidR="0072694A">
          <w:rPr>
            <w:noProof/>
            <w:webHidden/>
          </w:rPr>
          <w:t>5</w:t>
        </w:r>
        <w:r w:rsidR="0072694A">
          <w:rPr>
            <w:noProof/>
            <w:webHidden/>
          </w:rPr>
          <w:fldChar w:fldCharType="end"/>
        </w:r>
      </w:hyperlink>
    </w:p>
    <w:p w:rsidR="0072694A" w:rsidRDefault="00181005">
      <w:pPr>
        <w:pStyle w:val="TOC2"/>
        <w:tabs>
          <w:tab w:val="left" w:pos="720"/>
          <w:tab w:val="right" w:leader="dot" w:pos="9350"/>
        </w:tabs>
        <w:rPr>
          <w:rFonts w:asciiTheme="minorHAnsi" w:eastAsiaTheme="minorEastAsia" w:hAnsiTheme="minorHAnsi" w:cstheme="minorBidi"/>
          <w:noProof/>
          <w:sz w:val="22"/>
          <w:szCs w:val="22"/>
        </w:rPr>
      </w:pPr>
      <w:hyperlink w:anchor="_Toc449441978" w:history="1">
        <w:r w:rsidR="0072694A" w:rsidRPr="00925B4F">
          <w:rPr>
            <w:rStyle w:val="Hyperlink"/>
            <w:noProof/>
          </w:rPr>
          <w:t>A.</w:t>
        </w:r>
        <w:r w:rsidR="0072694A">
          <w:rPr>
            <w:rFonts w:asciiTheme="minorHAnsi" w:eastAsiaTheme="minorEastAsia" w:hAnsiTheme="minorHAnsi" w:cstheme="minorBidi"/>
            <w:noProof/>
            <w:sz w:val="22"/>
            <w:szCs w:val="22"/>
          </w:rPr>
          <w:tab/>
        </w:r>
        <w:r w:rsidR="0072694A" w:rsidRPr="00925B4F">
          <w:rPr>
            <w:rStyle w:val="Hyperlink"/>
            <w:noProof/>
          </w:rPr>
          <w:t>THE REGULATIONS</w:t>
        </w:r>
        <w:r w:rsidR="0072694A">
          <w:rPr>
            <w:noProof/>
            <w:webHidden/>
          </w:rPr>
          <w:tab/>
        </w:r>
        <w:r w:rsidR="0072694A">
          <w:rPr>
            <w:noProof/>
            <w:webHidden/>
          </w:rPr>
          <w:fldChar w:fldCharType="begin"/>
        </w:r>
        <w:r w:rsidR="0072694A">
          <w:rPr>
            <w:noProof/>
            <w:webHidden/>
          </w:rPr>
          <w:instrText xml:space="preserve"> PAGEREF _Toc449441978 \h </w:instrText>
        </w:r>
        <w:r w:rsidR="0072694A">
          <w:rPr>
            <w:noProof/>
            <w:webHidden/>
          </w:rPr>
        </w:r>
        <w:r w:rsidR="0072694A">
          <w:rPr>
            <w:noProof/>
            <w:webHidden/>
          </w:rPr>
          <w:fldChar w:fldCharType="separate"/>
        </w:r>
        <w:r w:rsidR="0072694A">
          <w:rPr>
            <w:noProof/>
            <w:webHidden/>
          </w:rPr>
          <w:t>5</w:t>
        </w:r>
        <w:r w:rsidR="0072694A">
          <w:rPr>
            <w:noProof/>
            <w:webHidden/>
          </w:rPr>
          <w:fldChar w:fldCharType="end"/>
        </w:r>
      </w:hyperlink>
    </w:p>
    <w:p w:rsidR="0072694A" w:rsidRDefault="00181005">
      <w:pPr>
        <w:pStyle w:val="TOC2"/>
        <w:tabs>
          <w:tab w:val="left" w:pos="720"/>
          <w:tab w:val="right" w:leader="dot" w:pos="9350"/>
        </w:tabs>
        <w:rPr>
          <w:rFonts w:asciiTheme="minorHAnsi" w:eastAsiaTheme="minorEastAsia" w:hAnsiTheme="minorHAnsi" w:cstheme="minorBidi"/>
          <w:noProof/>
          <w:sz w:val="22"/>
          <w:szCs w:val="22"/>
        </w:rPr>
      </w:pPr>
      <w:hyperlink w:anchor="_Toc449441979" w:history="1">
        <w:r w:rsidR="0072694A" w:rsidRPr="00925B4F">
          <w:rPr>
            <w:rStyle w:val="Hyperlink"/>
            <w:noProof/>
          </w:rPr>
          <w:t>B.</w:t>
        </w:r>
        <w:r w:rsidR="0072694A">
          <w:rPr>
            <w:rFonts w:asciiTheme="minorHAnsi" w:eastAsiaTheme="minorEastAsia" w:hAnsiTheme="minorHAnsi" w:cstheme="minorBidi"/>
            <w:noProof/>
            <w:sz w:val="22"/>
            <w:szCs w:val="22"/>
          </w:rPr>
          <w:tab/>
        </w:r>
        <w:r w:rsidR="0072694A" w:rsidRPr="00925B4F">
          <w:rPr>
            <w:rStyle w:val="Hyperlink"/>
            <w:noProof/>
          </w:rPr>
          <w:t>SLIDES ILLUSTRATING A PROTOTYPICAL INVERSION</w:t>
        </w:r>
        <w:r w:rsidR="0072694A">
          <w:rPr>
            <w:noProof/>
            <w:webHidden/>
          </w:rPr>
          <w:tab/>
        </w:r>
        <w:r w:rsidR="0072694A">
          <w:rPr>
            <w:noProof/>
            <w:webHidden/>
          </w:rPr>
          <w:fldChar w:fldCharType="begin"/>
        </w:r>
        <w:r w:rsidR="0072694A">
          <w:rPr>
            <w:noProof/>
            <w:webHidden/>
          </w:rPr>
          <w:instrText xml:space="preserve"> PAGEREF _Toc449441979 \h </w:instrText>
        </w:r>
        <w:r w:rsidR="0072694A">
          <w:rPr>
            <w:noProof/>
            <w:webHidden/>
          </w:rPr>
        </w:r>
        <w:r w:rsidR="0072694A">
          <w:rPr>
            <w:noProof/>
            <w:webHidden/>
          </w:rPr>
          <w:fldChar w:fldCharType="separate"/>
        </w:r>
        <w:r w:rsidR="0072694A">
          <w:rPr>
            <w:noProof/>
            <w:webHidden/>
          </w:rPr>
          <w:t>6</w:t>
        </w:r>
        <w:r w:rsidR="0072694A">
          <w:rPr>
            <w:noProof/>
            <w:webHidden/>
          </w:rPr>
          <w:fldChar w:fldCharType="end"/>
        </w:r>
      </w:hyperlink>
    </w:p>
    <w:p w:rsidR="0072694A" w:rsidRDefault="00181005">
      <w:pPr>
        <w:pStyle w:val="TOC2"/>
        <w:tabs>
          <w:tab w:val="left" w:pos="720"/>
          <w:tab w:val="right" w:leader="dot" w:pos="9350"/>
        </w:tabs>
        <w:rPr>
          <w:rFonts w:asciiTheme="minorHAnsi" w:eastAsiaTheme="minorEastAsia" w:hAnsiTheme="minorHAnsi" w:cstheme="minorBidi"/>
          <w:noProof/>
          <w:sz w:val="22"/>
          <w:szCs w:val="22"/>
        </w:rPr>
      </w:pPr>
      <w:hyperlink w:anchor="_Toc449441980" w:history="1">
        <w:r w:rsidR="0072694A" w:rsidRPr="00925B4F">
          <w:rPr>
            <w:rStyle w:val="Hyperlink"/>
            <w:noProof/>
          </w:rPr>
          <w:t>C.</w:t>
        </w:r>
        <w:r w:rsidR="0072694A">
          <w:rPr>
            <w:rFonts w:asciiTheme="minorHAnsi" w:eastAsiaTheme="minorEastAsia" w:hAnsiTheme="minorHAnsi" w:cstheme="minorBidi"/>
            <w:noProof/>
            <w:sz w:val="22"/>
            <w:szCs w:val="22"/>
          </w:rPr>
          <w:tab/>
        </w:r>
        <w:r w:rsidR="0072694A" w:rsidRPr="00925B4F">
          <w:rPr>
            <w:rStyle w:val="Hyperlink"/>
            <w:noProof/>
          </w:rPr>
          <w:t>SECTION 7874: RULES RELATING TO EXPATRIATED ENTITIES AND THEIR FOREIGN PARENTS</w:t>
        </w:r>
        <w:r w:rsidR="0072694A">
          <w:rPr>
            <w:noProof/>
            <w:webHidden/>
          </w:rPr>
          <w:tab/>
        </w:r>
        <w:r w:rsidR="0072694A">
          <w:rPr>
            <w:noProof/>
            <w:webHidden/>
          </w:rPr>
          <w:fldChar w:fldCharType="begin"/>
        </w:r>
        <w:r w:rsidR="0072694A">
          <w:rPr>
            <w:noProof/>
            <w:webHidden/>
          </w:rPr>
          <w:instrText xml:space="preserve"> PAGEREF _Toc449441980 \h </w:instrText>
        </w:r>
        <w:r w:rsidR="0072694A">
          <w:rPr>
            <w:noProof/>
            <w:webHidden/>
          </w:rPr>
        </w:r>
        <w:r w:rsidR="0072694A">
          <w:rPr>
            <w:noProof/>
            <w:webHidden/>
          </w:rPr>
          <w:fldChar w:fldCharType="separate"/>
        </w:r>
        <w:r w:rsidR="0072694A">
          <w:rPr>
            <w:noProof/>
            <w:webHidden/>
          </w:rPr>
          <w:t>6</w:t>
        </w:r>
        <w:r w:rsidR="0072694A">
          <w:rPr>
            <w:noProof/>
            <w:webHidden/>
          </w:rPr>
          <w:fldChar w:fldCharType="end"/>
        </w:r>
      </w:hyperlink>
    </w:p>
    <w:p w:rsidR="0072694A" w:rsidRDefault="00181005">
      <w:pPr>
        <w:pStyle w:val="TOC1"/>
        <w:tabs>
          <w:tab w:val="left" w:pos="480"/>
          <w:tab w:val="right" w:leader="dot" w:pos="9350"/>
        </w:tabs>
        <w:rPr>
          <w:rFonts w:asciiTheme="minorHAnsi" w:eastAsiaTheme="minorEastAsia" w:hAnsiTheme="minorHAnsi" w:cstheme="minorBidi"/>
          <w:noProof/>
          <w:sz w:val="22"/>
          <w:szCs w:val="22"/>
        </w:rPr>
      </w:pPr>
      <w:hyperlink w:anchor="_Toc449441981" w:history="1">
        <w:r w:rsidR="0072694A" w:rsidRPr="00925B4F">
          <w:rPr>
            <w:rStyle w:val="Hyperlink"/>
            <w:noProof/>
          </w:rPr>
          <w:t>II</w:t>
        </w:r>
        <w:r w:rsidR="0072694A">
          <w:rPr>
            <w:rFonts w:asciiTheme="minorHAnsi" w:eastAsiaTheme="minorEastAsia" w:hAnsiTheme="minorHAnsi" w:cstheme="minorBidi"/>
            <w:noProof/>
            <w:sz w:val="22"/>
            <w:szCs w:val="22"/>
          </w:rPr>
          <w:tab/>
        </w:r>
        <w:r w:rsidR="0072694A" w:rsidRPr="00925B4F">
          <w:rPr>
            <w:rStyle w:val="Hyperlink"/>
            <w:noProof/>
          </w:rPr>
          <w:t>INTRODUCTION TO THE 2016 INVERSION AND RELATED TRANSACTIONS REGULATIONS</w:t>
        </w:r>
        <w:r w:rsidR="0072694A">
          <w:rPr>
            <w:noProof/>
            <w:webHidden/>
          </w:rPr>
          <w:tab/>
        </w:r>
        <w:r w:rsidR="0072694A">
          <w:rPr>
            <w:noProof/>
            <w:webHidden/>
          </w:rPr>
          <w:fldChar w:fldCharType="begin"/>
        </w:r>
        <w:r w:rsidR="0072694A">
          <w:rPr>
            <w:noProof/>
            <w:webHidden/>
          </w:rPr>
          <w:instrText xml:space="preserve"> PAGEREF _Toc449441981 \h </w:instrText>
        </w:r>
        <w:r w:rsidR="0072694A">
          <w:rPr>
            <w:noProof/>
            <w:webHidden/>
          </w:rPr>
        </w:r>
        <w:r w:rsidR="0072694A">
          <w:rPr>
            <w:noProof/>
            <w:webHidden/>
          </w:rPr>
          <w:fldChar w:fldCharType="separate"/>
        </w:r>
        <w:r w:rsidR="0072694A">
          <w:rPr>
            <w:noProof/>
            <w:webHidden/>
          </w:rPr>
          <w:t>10</w:t>
        </w:r>
        <w:r w:rsidR="0072694A">
          <w:rPr>
            <w:noProof/>
            <w:webHidden/>
          </w:rPr>
          <w:fldChar w:fldCharType="end"/>
        </w:r>
      </w:hyperlink>
    </w:p>
    <w:p w:rsidR="0072694A" w:rsidRDefault="00181005">
      <w:pPr>
        <w:pStyle w:val="TOC2"/>
        <w:tabs>
          <w:tab w:val="left" w:pos="720"/>
          <w:tab w:val="right" w:leader="dot" w:pos="9350"/>
        </w:tabs>
        <w:rPr>
          <w:rFonts w:asciiTheme="minorHAnsi" w:eastAsiaTheme="minorEastAsia" w:hAnsiTheme="minorHAnsi" w:cstheme="minorBidi"/>
          <w:noProof/>
          <w:sz w:val="22"/>
          <w:szCs w:val="22"/>
        </w:rPr>
      </w:pPr>
      <w:hyperlink w:anchor="_Toc449441982" w:history="1">
        <w:r w:rsidR="0072694A" w:rsidRPr="00925B4F">
          <w:rPr>
            <w:rStyle w:val="Hyperlink"/>
            <w:noProof/>
          </w:rPr>
          <w:t>A.</w:t>
        </w:r>
        <w:r w:rsidR="0072694A">
          <w:rPr>
            <w:rFonts w:asciiTheme="minorHAnsi" w:eastAsiaTheme="minorEastAsia" w:hAnsiTheme="minorHAnsi" w:cstheme="minorBidi"/>
            <w:noProof/>
            <w:sz w:val="22"/>
            <w:szCs w:val="22"/>
          </w:rPr>
          <w:tab/>
        </w:r>
        <w:r w:rsidR="0072694A" w:rsidRPr="00925B4F">
          <w:rPr>
            <w:rStyle w:val="Hyperlink"/>
            <w:noProof/>
          </w:rPr>
          <w:t>GENERAL SCOPE OF THE REGULATION</w:t>
        </w:r>
        <w:r w:rsidR="0072694A">
          <w:rPr>
            <w:noProof/>
            <w:webHidden/>
          </w:rPr>
          <w:tab/>
        </w:r>
        <w:r w:rsidR="0072694A">
          <w:rPr>
            <w:noProof/>
            <w:webHidden/>
          </w:rPr>
          <w:fldChar w:fldCharType="begin"/>
        </w:r>
        <w:r w:rsidR="0072694A">
          <w:rPr>
            <w:noProof/>
            <w:webHidden/>
          </w:rPr>
          <w:instrText xml:space="preserve"> PAGEREF _Toc449441982 \h </w:instrText>
        </w:r>
        <w:r w:rsidR="0072694A">
          <w:rPr>
            <w:noProof/>
            <w:webHidden/>
          </w:rPr>
        </w:r>
        <w:r w:rsidR="0072694A">
          <w:rPr>
            <w:noProof/>
            <w:webHidden/>
          </w:rPr>
          <w:fldChar w:fldCharType="separate"/>
        </w:r>
        <w:r w:rsidR="0072694A">
          <w:rPr>
            <w:noProof/>
            <w:webHidden/>
          </w:rPr>
          <w:t>10</w:t>
        </w:r>
        <w:r w:rsidR="0072694A">
          <w:rPr>
            <w:noProof/>
            <w:webHidden/>
          </w:rPr>
          <w:fldChar w:fldCharType="end"/>
        </w:r>
      </w:hyperlink>
    </w:p>
    <w:p w:rsidR="0072694A" w:rsidRDefault="00181005">
      <w:pPr>
        <w:pStyle w:val="TOC2"/>
        <w:tabs>
          <w:tab w:val="left" w:pos="720"/>
          <w:tab w:val="right" w:leader="dot" w:pos="9350"/>
        </w:tabs>
        <w:rPr>
          <w:rFonts w:asciiTheme="minorHAnsi" w:eastAsiaTheme="minorEastAsia" w:hAnsiTheme="minorHAnsi" w:cstheme="minorBidi"/>
          <w:noProof/>
          <w:sz w:val="22"/>
          <w:szCs w:val="22"/>
        </w:rPr>
      </w:pPr>
      <w:hyperlink w:anchor="_Toc449441983" w:history="1">
        <w:r w:rsidR="0072694A" w:rsidRPr="00925B4F">
          <w:rPr>
            <w:rStyle w:val="Hyperlink"/>
            <w:noProof/>
          </w:rPr>
          <w:t>B.</w:t>
        </w:r>
        <w:r w:rsidR="0072694A">
          <w:rPr>
            <w:rFonts w:asciiTheme="minorHAnsi" w:eastAsiaTheme="minorEastAsia" w:hAnsiTheme="minorHAnsi" w:cstheme="minorBidi"/>
            <w:noProof/>
            <w:sz w:val="22"/>
            <w:szCs w:val="22"/>
          </w:rPr>
          <w:tab/>
        </w:r>
        <w:r w:rsidR="0072694A" w:rsidRPr="00925B4F">
          <w:rPr>
            <w:rStyle w:val="Hyperlink"/>
            <w:noProof/>
          </w:rPr>
          <w:t>INTRODUCTION TO THE SIGNIFICANCE OF THE OWNERSHIP PERCENTAGE, RIGHT SIZING, AND PFIZER’S ABANDONED INVERSION WITH ALLERGAN</w:t>
        </w:r>
        <w:r w:rsidR="0072694A">
          <w:rPr>
            <w:noProof/>
            <w:webHidden/>
          </w:rPr>
          <w:tab/>
        </w:r>
        <w:r w:rsidR="0072694A">
          <w:rPr>
            <w:noProof/>
            <w:webHidden/>
          </w:rPr>
          <w:fldChar w:fldCharType="begin"/>
        </w:r>
        <w:r w:rsidR="0072694A">
          <w:rPr>
            <w:noProof/>
            <w:webHidden/>
          </w:rPr>
          <w:instrText xml:space="preserve"> PAGEREF _Toc449441983 \h </w:instrText>
        </w:r>
        <w:r w:rsidR="0072694A">
          <w:rPr>
            <w:noProof/>
            <w:webHidden/>
          </w:rPr>
        </w:r>
        <w:r w:rsidR="0072694A">
          <w:rPr>
            <w:noProof/>
            <w:webHidden/>
          </w:rPr>
          <w:fldChar w:fldCharType="separate"/>
        </w:r>
        <w:r w:rsidR="0072694A">
          <w:rPr>
            <w:noProof/>
            <w:webHidden/>
          </w:rPr>
          <w:t>10</w:t>
        </w:r>
        <w:r w:rsidR="0072694A">
          <w:rPr>
            <w:noProof/>
            <w:webHidden/>
          </w:rPr>
          <w:fldChar w:fldCharType="end"/>
        </w:r>
      </w:hyperlink>
    </w:p>
    <w:p w:rsidR="0072694A" w:rsidRDefault="00181005">
      <w:pPr>
        <w:pStyle w:val="TOC2"/>
        <w:tabs>
          <w:tab w:val="left" w:pos="720"/>
          <w:tab w:val="right" w:leader="dot" w:pos="9350"/>
        </w:tabs>
        <w:rPr>
          <w:rFonts w:asciiTheme="minorHAnsi" w:eastAsiaTheme="minorEastAsia" w:hAnsiTheme="minorHAnsi" w:cstheme="minorBidi"/>
          <w:noProof/>
          <w:sz w:val="22"/>
          <w:szCs w:val="22"/>
        </w:rPr>
      </w:pPr>
      <w:hyperlink w:anchor="_Toc449441984" w:history="1">
        <w:r w:rsidR="0072694A" w:rsidRPr="00925B4F">
          <w:rPr>
            <w:rStyle w:val="Hyperlink"/>
            <w:noProof/>
          </w:rPr>
          <w:t>C.</w:t>
        </w:r>
        <w:r w:rsidR="0072694A">
          <w:rPr>
            <w:rFonts w:asciiTheme="minorHAnsi" w:eastAsiaTheme="minorEastAsia" w:hAnsiTheme="minorHAnsi" w:cstheme="minorBidi"/>
            <w:noProof/>
            <w:sz w:val="22"/>
            <w:szCs w:val="22"/>
          </w:rPr>
          <w:tab/>
        </w:r>
        <w:r w:rsidR="0072694A" w:rsidRPr="00925B4F">
          <w:rPr>
            <w:rStyle w:val="Hyperlink"/>
            <w:noProof/>
          </w:rPr>
          <w:t>MULTIPLE-STEP ACQUISITION OF PROPERTY OF A DOMESTIC ENTITY, § 1.7874-2T(c)(4)</w:t>
        </w:r>
        <w:r w:rsidR="0072694A">
          <w:rPr>
            <w:noProof/>
            <w:webHidden/>
          </w:rPr>
          <w:tab/>
        </w:r>
        <w:r w:rsidR="0072694A">
          <w:rPr>
            <w:noProof/>
            <w:webHidden/>
          </w:rPr>
          <w:fldChar w:fldCharType="begin"/>
        </w:r>
        <w:r w:rsidR="0072694A">
          <w:rPr>
            <w:noProof/>
            <w:webHidden/>
          </w:rPr>
          <w:instrText xml:space="preserve"> PAGEREF _Toc449441984 \h </w:instrText>
        </w:r>
        <w:r w:rsidR="0072694A">
          <w:rPr>
            <w:noProof/>
            <w:webHidden/>
          </w:rPr>
        </w:r>
        <w:r w:rsidR="0072694A">
          <w:rPr>
            <w:noProof/>
            <w:webHidden/>
          </w:rPr>
          <w:fldChar w:fldCharType="separate"/>
        </w:r>
        <w:r w:rsidR="0072694A">
          <w:rPr>
            <w:noProof/>
            <w:webHidden/>
          </w:rPr>
          <w:t>11</w:t>
        </w:r>
        <w:r w:rsidR="0072694A">
          <w:rPr>
            <w:noProof/>
            <w:webHidden/>
          </w:rPr>
          <w:fldChar w:fldCharType="end"/>
        </w:r>
      </w:hyperlink>
    </w:p>
    <w:p w:rsidR="0072694A" w:rsidRDefault="00181005">
      <w:pPr>
        <w:pStyle w:val="TOC2"/>
        <w:tabs>
          <w:tab w:val="left" w:pos="720"/>
          <w:tab w:val="right" w:leader="dot" w:pos="9350"/>
        </w:tabs>
        <w:rPr>
          <w:rFonts w:asciiTheme="minorHAnsi" w:eastAsiaTheme="minorEastAsia" w:hAnsiTheme="minorHAnsi" w:cstheme="minorBidi"/>
          <w:noProof/>
          <w:sz w:val="22"/>
          <w:szCs w:val="22"/>
        </w:rPr>
      </w:pPr>
      <w:hyperlink w:anchor="_Toc449441985" w:history="1">
        <w:r w:rsidR="0072694A" w:rsidRPr="00925B4F">
          <w:rPr>
            <w:rStyle w:val="Hyperlink"/>
            <w:noProof/>
          </w:rPr>
          <w:t>D.</w:t>
        </w:r>
        <w:r w:rsidR="0072694A">
          <w:rPr>
            <w:rFonts w:asciiTheme="minorHAnsi" w:eastAsiaTheme="minorEastAsia" w:hAnsiTheme="minorHAnsi" w:cstheme="minorBidi"/>
            <w:noProof/>
            <w:sz w:val="22"/>
            <w:szCs w:val="22"/>
          </w:rPr>
          <w:tab/>
        </w:r>
        <w:r w:rsidR="0072694A" w:rsidRPr="00925B4F">
          <w:rPr>
            <w:rStyle w:val="Hyperlink"/>
            <w:noProof/>
          </w:rPr>
          <w:t>CLARIFICATION OF THE CALCULATION OF THE OWNERSHIP PERCENTAGE: IMPLEMENTING THE ANTI-STUFFING PROVISIONS OF THE 2015 NOTICE, § 1.7874-4T</w:t>
        </w:r>
        <w:r w:rsidR="0072694A">
          <w:rPr>
            <w:noProof/>
            <w:webHidden/>
          </w:rPr>
          <w:tab/>
        </w:r>
        <w:r w:rsidR="0072694A">
          <w:rPr>
            <w:noProof/>
            <w:webHidden/>
          </w:rPr>
          <w:fldChar w:fldCharType="begin"/>
        </w:r>
        <w:r w:rsidR="0072694A">
          <w:rPr>
            <w:noProof/>
            <w:webHidden/>
          </w:rPr>
          <w:instrText xml:space="preserve"> PAGEREF _Toc449441985 \h </w:instrText>
        </w:r>
        <w:r w:rsidR="0072694A">
          <w:rPr>
            <w:noProof/>
            <w:webHidden/>
          </w:rPr>
        </w:r>
        <w:r w:rsidR="0072694A">
          <w:rPr>
            <w:noProof/>
            <w:webHidden/>
          </w:rPr>
          <w:fldChar w:fldCharType="separate"/>
        </w:r>
        <w:r w:rsidR="0072694A">
          <w:rPr>
            <w:noProof/>
            <w:webHidden/>
          </w:rPr>
          <w:t>13</w:t>
        </w:r>
        <w:r w:rsidR="0072694A">
          <w:rPr>
            <w:noProof/>
            <w:webHidden/>
          </w:rPr>
          <w:fldChar w:fldCharType="end"/>
        </w:r>
      </w:hyperlink>
    </w:p>
    <w:p w:rsidR="0072694A" w:rsidRDefault="00181005">
      <w:pPr>
        <w:pStyle w:val="TOC2"/>
        <w:tabs>
          <w:tab w:val="left" w:pos="720"/>
          <w:tab w:val="right" w:leader="dot" w:pos="9350"/>
        </w:tabs>
        <w:rPr>
          <w:rFonts w:asciiTheme="minorHAnsi" w:eastAsiaTheme="minorEastAsia" w:hAnsiTheme="minorHAnsi" w:cstheme="minorBidi"/>
          <w:noProof/>
          <w:sz w:val="22"/>
          <w:szCs w:val="22"/>
        </w:rPr>
      </w:pPr>
      <w:hyperlink w:anchor="_Toc449441986" w:history="1">
        <w:r w:rsidR="0072694A" w:rsidRPr="00925B4F">
          <w:rPr>
            <w:rStyle w:val="Hyperlink"/>
            <w:noProof/>
          </w:rPr>
          <w:t>E.</w:t>
        </w:r>
        <w:r w:rsidR="0072694A">
          <w:rPr>
            <w:rFonts w:asciiTheme="minorHAnsi" w:eastAsiaTheme="minorEastAsia" w:hAnsiTheme="minorHAnsi" w:cstheme="minorBidi"/>
            <w:noProof/>
            <w:sz w:val="22"/>
            <w:szCs w:val="22"/>
          </w:rPr>
          <w:tab/>
        </w:r>
        <w:r w:rsidR="0072694A" w:rsidRPr="00925B4F">
          <w:rPr>
            <w:rStyle w:val="Hyperlink"/>
            <w:noProof/>
          </w:rPr>
          <w:t>CALCULATION OF THE OWNERSHIP PERCENTAGE: THE PASSIVE ASSET RULE, WHICH IS THE ANTI-CASH BOX RULE OF THE 2014 NOTICE, § 1.7874-7T</w:t>
        </w:r>
        <w:r w:rsidR="0072694A">
          <w:rPr>
            <w:noProof/>
            <w:webHidden/>
          </w:rPr>
          <w:tab/>
        </w:r>
        <w:r w:rsidR="0072694A">
          <w:rPr>
            <w:noProof/>
            <w:webHidden/>
          </w:rPr>
          <w:fldChar w:fldCharType="begin"/>
        </w:r>
        <w:r w:rsidR="0072694A">
          <w:rPr>
            <w:noProof/>
            <w:webHidden/>
          </w:rPr>
          <w:instrText xml:space="preserve"> PAGEREF _Toc449441986 \h </w:instrText>
        </w:r>
        <w:r w:rsidR="0072694A">
          <w:rPr>
            <w:noProof/>
            <w:webHidden/>
          </w:rPr>
        </w:r>
        <w:r w:rsidR="0072694A">
          <w:rPr>
            <w:noProof/>
            <w:webHidden/>
          </w:rPr>
          <w:fldChar w:fldCharType="separate"/>
        </w:r>
        <w:r w:rsidR="0072694A">
          <w:rPr>
            <w:noProof/>
            <w:webHidden/>
          </w:rPr>
          <w:t>15</w:t>
        </w:r>
        <w:r w:rsidR="0072694A">
          <w:rPr>
            <w:noProof/>
            <w:webHidden/>
          </w:rPr>
          <w:fldChar w:fldCharType="end"/>
        </w:r>
      </w:hyperlink>
    </w:p>
    <w:p w:rsidR="0072694A" w:rsidRDefault="00181005">
      <w:pPr>
        <w:pStyle w:val="TOC2"/>
        <w:tabs>
          <w:tab w:val="left" w:pos="720"/>
          <w:tab w:val="right" w:leader="dot" w:pos="9350"/>
        </w:tabs>
        <w:rPr>
          <w:rFonts w:asciiTheme="minorHAnsi" w:eastAsiaTheme="minorEastAsia" w:hAnsiTheme="minorHAnsi" w:cstheme="minorBidi"/>
          <w:noProof/>
          <w:sz w:val="22"/>
          <w:szCs w:val="22"/>
        </w:rPr>
      </w:pPr>
      <w:hyperlink w:anchor="_Toc449441987" w:history="1">
        <w:r w:rsidR="0072694A" w:rsidRPr="00925B4F">
          <w:rPr>
            <w:rStyle w:val="Hyperlink"/>
            <w:noProof/>
          </w:rPr>
          <w:t>F.</w:t>
        </w:r>
        <w:r w:rsidR="0072694A">
          <w:rPr>
            <w:rFonts w:asciiTheme="minorHAnsi" w:eastAsiaTheme="minorEastAsia" w:hAnsiTheme="minorHAnsi" w:cstheme="minorBidi"/>
            <w:noProof/>
            <w:sz w:val="22"/>
            <w:szCs w:val="22"/>
          </w:rPr>
          <w:tab/>
        </w:r>
        <w:r w:rsidR="0072694A" w:rsidRPr="00925B4F">
          <w:rPr>
            <w:rStyle w:val="Hyperlink"/>
            <w:noProof/>
          </w:rPr>
          <w:t>CALCULATION OF THE OWNERSHIP PERCENTAGE: THE ACQUISITION OF MULTIPLE DOMESTIC ENTITIES RULE, THE PFIZER RULE, § 1.7874-8T</w:t>
        </w:r>
        <w:r w:rsidR="0072694A">
          <w:rPr>
            <w:noProof/>
            <w:webHidden/>
          </w:rPr>
          <w:tab/>
        </w:r>
        <w:r w:rsidR="0072694A">
          <w:rPr>
            <w:noProof/>
            <w:webHidden/>
          </w:rPr>
          <w:fldChar w:fldCharType="begin"/>
        </w:r>
        <w:r w:rsidR="0072694A">
          <w:rPr>
            <w:noProof/>
            <w:webHidden/>
          </w:rPr>
          <w:instrText xml:space="preserve"> PAGEREF _Toc449441987 \h </w:instrText>
        </w:r>
        <w:r w:rsidR="0072694A">
          <w:rPr>
            <w:noProof/>
            <w:webHidden/>
          </w:rPr>
        </w:r>
        <w:r w:rsidR="0072694A">
          <w:rPr>
            <w:noProof/>
            <w:webHidden/>
          </w:rPr>
          <w:fldChar w:fldCharType="separate"/>
        </w:r>
        <w:r w:rsidR="0072694A">
          <w:rPr>
            <w:noProof/>
            <w:webHidden/>
          </w:rPr>
          <w:t>17</w:t>
        </w:r>
        <w:r w:rsidR="0072694A">
          <w:rPr>
            <w:noProof/>
            <w:webHidden/>
          </w:rPr>
          <w:fldChar w:fldCharType="end"/>
        </w:r>
      </w:hyperlink>
    </w:p>
    <w:p w:rsidR="0072694A" w:rsidRDefault="00181005">
      <w:pPr>
        <w:pStyle w:val="TOC2"/>
        <w:tabs>
          <w:tab w:val="left" w:pos="720"/>
          <w:tab w:val="right" w:leader="dot" w:pos="9350"/>
        </w:tabs>
        <w:rPr>
          <w:rFonts w:asciiTheme="minorHAnsi" w:eastAsiaTheme="minorEastAsia" w:hAnsiTheme="minorHAnsi" w:cstheme="minorBidi"/>
          <w:noProof/>
          <w:sz w:val="22"/>
          <w:szCs w:val="22"/>
        </w:rPr>
      </w:pPr>
      <w:hyperlink w:anchor="_Toc449441988" w:history="1">
        <w:r w:rsidR="0072694A" w:rsidRPr="00925B4F">
          <w:rPr>
            <w:rStyle w:val="Hyperlink"/>
            <w:noProof/>
          </w:rPr>
          <w:t>G.</w:t>
        </w:r>
        <w:r w:rsidR="0072694A">
          <w:rPr>
            <w:rFonts w:asciiTheme="minorHAnsi" w:eastAsiaTheme="minorEastAsia" w:hAnsiTheme="minorHAnsi" w:cstheme="minorBidi"/>
            <w:noProof/>
            <w:sz w:val="22"/>
            <w:szCs w:val="22"/>
          </w:rPr>
          <w:tab/>
        </w:r>
        <w:r w:rsidR="0072694A" w:rsidRPr="00925B4F">
          <w:rPr>
            <w:rStyle w:val="Hyperlink"/>
            <w:noProof/>
          </w:rPr>
          <w:t>CALCULATION OF THE OWNERSHIP PERCENTAGE: THE THIRD COUNTRY RULE, § 1.7874-9T</w:t>
        </w:r>
        <w:r w:rsidR="0072694A">
          <w:rPr>
            <w:noProof/>
            <w:webHidden/>
          </w:rPr>
          <w:tab/>
        </w:r>
        <w:r w:rsidR="0072694A">
          <w:rPr>
            <w:noProof/>
            <w:webHidden/>
          </w:rPr>
          <w:fldChar w:fldCharType="begin"/>
        </w:r>
        <w:r w:rsidR="0072694A">
          <w:rPr>
            <w:noProof/>
            <w:webHidden/>
          </w:rPr>
          <w:instrText xml:space="preserve"> PAGEREF _Toc449441988 \h </w:instrText>
        </w:r>
        <w:r w:rsidR="0072694A">
          <w:rPr>
            <w:noProof/>
            <w:webHidden/>
          </w:rPr>
        </w:r>
        <w:r w:rsidR="0072694A">
          <w:rPr>
            <w:noProof/>
            <w:webHidden/>
          </w:rPr>
          <w:fldChar w:fldCharType="separate"/>
        </w:r>
        <w:r w:rsidR="0072694A">
          <w:rPr>
            <w:noProof/>
            <w:webHidden/>
          </w:rPr>
          <w:t>20</w:t>
        </w:r>
        <w:r w:rsidR="0072694A">
          <w:rPr>
            <w:noProof/>
            <w:webHidden/>
          </w:rPr>
          <w:fldChar w:fldCharType="end"/>
        </w:r>
      </w:hyperlink>
    </w:p>
    <w:p w:rsidR="0072694A" w:rsidRDefault="00181005">
      <w:pPr>
        <w:pStyle w:val="TOC2"/>
        <w:tabs>
          <w:tab w:val="left" w:pos="720"/>
          <w:tab w:val="right" w:leader="dot" w:pos="9350"/>
        </w:tabs>
        <w:rPr>
          <w:rFonts w:asciiTheme="minorHAnsi" w:eastAsiaTheme="minorEastAsia" w:hAnsiTheme="minorHAnsi" w:cstheme="minorBidi"/>
          <w:noProof/>
          <w:sz w:val="22"/>
          <w:szCs w:val="22"/>
        </w:rPr>
      </w:pPr>
      <w:hyperlink w:anchor="_Toc449441989" w:history="1">
        <w:r w:rsidR="0072694A" w:rsidRPr="00925B4F">
          <w:rPr>
            <w:rStyle w:val="Hyperlink"/>
            <w:noProof/>
          </w:rPr>
          <w:t>H.</w:t>
        </w:r>
        <w:r w:rsidR="0072694A">
          <w:rPr>
            <w:rFonts w:asciiTheme="minorHAnsi" w:eastAsiaTheme="minorEastAsia" w:hAnsiTheme="minorHAnsi" w:cstheme="minorBidi"/>
            <w:noProof/>
            <w:sz w:val="22"/>
            <w:szCs w:val="22"/>
          </w:rPr>
          <w:tab/>
        </w:r>
        <w:r w:rsidR="0072694A" w:rsidRPr="00925B4F">
          <w:rPr>
            <w:rStyle w:val="Hyperlink"/>
            <w:noProof/>
          </w:rPr>
          <w:t>CALCULATION OF THE OWNERSHIP PERCENTAGE: THE NON-ORDINARY COURSE DISTRIBUTIONS (NOCD) RULE, § 1.7874-10T</w:t>
        </w:r>
        <w:r w:rsidR="0072694A">
          <w:rPr>
            <w:noProof/>
            <w:webHidden/>
          </w:rPr>
          <w:tab/>
        </w:r>
        <w:r w:rsidR="0072694A">
          <w:rPr>
            <w:noProof/>
            <w:webHidden/>
          </w:rPr>
          <w:fldChar w:fldCharType="begin"/>
        </w:r>
        <w:r w:rsidR="0072694A">
          <w:rPr>
            <w:noProof/>
            <w:webHidden/>
          </w:rPr>
          <w:instrText xml:space="preserve"> PAGEREF _Toc449441989 \h </w:instrText>
        </w:r>
        <w:r w:rsidR="0072694A">
          <w:rPr>
            <w:noProof/>
            <w:webHidden/>
          </w:rPr>
        </w:r>
        <w:r w:rsidR="0072694A">
          <w:rPr>
            <w:noProof/>
            <w:webHidden/>
          </w:rPr>
          <w:fldChar w:fldCharType="separate"/>
        </w:r>
        <w:r w:rsidR="0072694A">
          <w:rPr>
            <w:noProof/>
            <w:webHidden/>
          </w:rPr>
          <w:t>21</w:t>
        </w:r>
        <w:r w:rsidR="0072694A">
          <w:rPr>
            <w:noProof/>
            <w:webHidden/>
          </w:rPr>
          <w:fldChar w:fldCharType="end"/>
        </w:r>
      </w:hyperlink>
    </w:p>
    <w:p w:rsidR="0072694A" w:rsidRDefault="00181005">
      <w:pPr>
        <w:pStyle w:val="TOC2"/>
        <w:tabs>
          <w:tab w:val="left" w:pos="720"/>
          <w:tab w:val="right" w:leader="dot" w:pos="9350"/>
        </w:tabs>
        <w:rPr>
          <w:rFonts w:asciiTheme="minorHAnsi" w:eastAsiaTheme="minorEastAsia" w:hAnsiTheme="minorHAnsi" w:cstheme="minorBidi"/>
          <w:noProof/>
          <w:sz w:val="22"/>
          <w:szCs w:val="22"/>
        </w:rPr>
      </w:pPr>
      <w:hyperlink w:anchor="_Toc449441990" w:history="1">
        <w:r w:rsidR="0072694A" w:rsidRPr="00925B4F">
          <w:rPr>
            <w:rStyle w:val="Hyperlink"/>
            <w:noProof/>
          </w:rPr>
          <w:t>I.</w:t>
        </w:r>
        <w:r w:rsidR="0072694A">
          <w:rPr>
            <w:rFonts w:asciiTheme="minorHAnsi" w:eastAsiaTheme="minorEastAsia" w:hAnsiTheme="minorHAnsi" w:cstheme="minorBidi"/>
            <w:noProof/>
            <w:sz w:val="22"/>
            <w:szCs w:val="22"/>
          </w:rPr>
          <w:tab/>
        </w:r>
        <w:r w:rsidR="0072694A" w:rsidRPr="00925B4F">
          <w:rPr>
            <w:rStyle w:val="Hyperlink"/>
            <w:noProof/>
          </w:rPr>
          <w:t>APPLICATION OF THE EAG RULES WHEN THERE IS A RELATED TRANSFER OF STOCK OF THE FOREIGN ACQUIRING CORPORATION, THE SPINVERSION RULE, § 1.7874-6T</w:t>
        </w:r>
        <w:r w:rsidR="0072694A">
          <w:rPr>
            <w:noProof/>
            <w:webHidden/>
          </w:rPr>
          <w:tab/>
        </w:r>
        <w:r w:rsidR="0072694A">
          <w:rPr>
            <w:noProof/>
            <w:webHidden/>
          </w:rPr>
          <w:fldChar w:fldCharType="begin"/>
        </w:r>
        <w:r w:rsidR="0072694A">
          <w:rPr>
            <w:noProof/>
            <w:webHidden/>
          </w:rPr>
          <w:instrText xml:space="preserve"> PAGEREF _Toc449441990 \h </w:instrText>
        </w:r>
        <w:r w:rsidR="0072694A">
          <w:rPr>
            <w:noProof/>
            <w:webHidden/>
          </w:rPr>
        </w:r>
        <w:r w:rsidR="0072694A">
          <w:rPr>
            <w:noProof/>
            <w:webHidden/>
          </w:rPr>
          <w:fldChar w:fldCharType="separate"/>
        </w:r>
        <w:r w:rsidR="0072694A">
          <w:rPr>
            <w:noProof/>
            <w:webHidden/>
          </w:rPr>
          <w:t>22</w:t>
        </w:r>
        <w:r w:rsidR="0072694A">
          <w:rPr>
            <w:noProof/>
            <w:webHidden/>
          </w:rPr>
          <w:fldChar w:fldCharType="end"/>
        </w:r>
      </w:hyperlink>
    </w:p>
    <w:p w:rsidR="0072694A" w:rsidRDefault="00181005">
      <w:pPr>
        <w:pStyle w:val="TOC3"/>
        <w:tabs>
          <w:tab w:val="left" w:pos="960"/>
          <w:tab w:val="right" w:leader="dot" w:pos="9350"/>
        </w:tabs>
        <w:rPr>
          <w:rFonts w:asciiTheme="minorHAnsi" w:eastAsiaTheme="minorEastAsia" w:hAnsiTheme="minorHAnsi" w:cstheme="minorBidi"/>
          <w:noProof/>
          <w:sz w:val="22"/>
          <w:szCs w:val="22"/>
        </w:rPr>
      </w:pPr>
      <w:hyperlink w:anchor="_Toc449441991" w:history="1">
        <w:r w:rsidR="0072694A" w:rsidRPr="00925B4F">
          <w:rPr>
            <w:rStyle w:val="Hyperlink"/>
            <w:noProof/>
          </w:rPr>
          <w:t>1.</w:t>
        </w:r>
        <w:r w:rsidR="0072694A">
          <w:rPr>
            <w:rFonts w:asciiTheme="minorHAnsi" w:eastAsiaTheme="minorEastAsia" w:hAnsiTheme="minorHAnsi" w:cstheme="minorBidi"/>
            <w:noProof/>
            <w:sz w:val="22"/>
            <w:szCs w:val="22"/>
          </w:rPr>
          <w:tab/>
        </w:r>
        <w:r w:rsidR="0072694A" w:rsidRPr="00925B4F">
          <w:rPr>
            <w:rStyle w:val="Hyperlink"/>
            <w:noProof/>
          </w:rPr>
          <w:t>INTRODUCTION</w:t>
        </w:r>
        <w:r w:rsidR="0072694A">
          <w:rPr>
            <w:noProof/>
            <w:webHidden/>
          </w:rPr>
          <w:tab/>
        </w:r>
        <w:r w:rsidR="0072694A">
          <w:rPr>
            <w:noProof/>
            <w:webHidden/>
          </w:rPr>
          <w:fldChar w:fldCharType="begin"/>
        </w:r>
        <w:r w:rsidR="0072694A">
          <w:rPr>
            <w:noProof/>
            <w:webHidden/>
          </w:rPr>
          <w:instrText xml:space="preserve"> PAGEREF _Toc449441991 \h </w:instrText>
        </w:r>
        <w:r w:rsidR="0072694A">
          <w:rPr>
            <w:noProof/>
            <w:webHidden/>
          </w:rPr>
        </w:r>
        <w:r w:rsidR="0072694A">
          <w:rPr>
            <w:noProof/>
            <w:webHidden/>
          </w:rPr>
          <w:fldChar w:fldCharType="separate"/>
        </w:r>
        <w:r w:rsidR="0072694A">
          <w:rPr>
            <w:noProof/>
            <w:webHidden/>
          </w:rPr>
          <w:t>22</w:t>
        </w:r>
        <w:r w:rsidR="0072694A">
          <w:rPr>
            <w:noProof/>
            <w:webHidden/>
          </w:rPr>
          <w:fldChar w:fldCharType="end"/>
        </w:r>
      </w:hyperlink>
    </w:p>
    <w:p w:rsidR="0072694A" w:rsidRDefault="00181005">
      <w:pPr>
        <w:pStyle w:val="TOC3"/>
        <w:tabs>
          <w:tab w:val="left" w:pos="960"/>
          <w:tab w:val="right" w:leader="dot" w:pos="9350"/>
        </w:tabs>
        <w:rPr>
          <w:rFonts w:asciiTheme="minorHAnsi" w:eastAsiaTheme="minorEastAsia" w:hAnsiTheme="minorHAnsi" w:cstheme="minorBidi"/>
          <w:noProof/>
          <w:sz w:val="22"/>
          <w:szCs w:val="22"/>
        </w:rPr>
      </w:pPr>
      <w:hyperlink w:anchor="_Toc449441992" w:history="1">
        <w:r w:rsidR="0072694A" w:rsidRPr="00925B4F">
          <w:rPr>
            <w:rStyle w:val="Hyperlink"/>
            <w:noProof/>
          </w:rPr>
          <w:t>2.</w:t>
        </w:r>
        <w:r w:rsidR="0072694A">
          <w:rPr>
            <w:rFonts w:asciiTheme="minorHAnsi" w:eastAsiaTheme="minorEastAsia" w:hAnsiTheme="minorHAnsi" w:cstheme="minorBidi"/>
            <w:noProof/>
            <w:sz w:val="22"/>
            <w:szCs w:val="22"/>
          </w:rPr>
          <w:tab/>
        </w:r>
        <w:r w:rsidR="0072694A" w:rsidRPr="00925B4F">
          <w:rPr>
            <w:rStyle w:val="Hyperlink"/>
            <w:noProof/>
          </w:rPr>
          <w:t>THE SPINVERSION EXAMPLE</w:t>
        </w:r>
        <w:r w:rsidR="0072694A">
          <w:rPr>
            <w:noProof/>
            <w:webHidden/>
          </w:rPr>
          <w:tab/>
        </w:r>
        <w:r w:rsidR="0072694A">
          <w:rPr>
            <w:noProof/>
            <w:webHidden/>
          </w:rPr>
          <w:fldChar w:fldCharType="begin"/>
        </w:r>
        <w:r w:rsidR="0072694A">
          <w:rPr>
            <w:noProof/>
            <w:webHidden/>
          </w:rPr>
          <w:instrText xml:space="preserve"> PAGEREF _Toc449441992 \h </w:instrText>
        </w:r>
        <w:r w:rsidR="0072694A">
          <w:rPr>
            <w:noProof/>
            <w:webHidden/>
          </w:rPr>
        </w:r>
        <w:r w:rsidR="0072694A">
          <w:rPr>
            <w:noProof/>
            <w:webHidden/>
          </w:rPr>
          <w:fldChar w:fldCharType="separate"/>
        </w:r>
        <w:r w:rsidR="0072694A">
          <w:rPr>
            <w:noProof/>
            <w:webHidden/>
          </w:rPr>
          <w:t>24</w:t>
        </w:r>
        <w:r w:rsidR="0072694A">
          <w:rPr>
            <w:noProof/>
            <w:webHidden/>
          </w:rPr>
          <w:fldChar w:fldCharType="end"/>
        </w:r>
      </w:hyperlink>
    </w:p>
    <w:p w:rsidR="0072694A" w:rsidRDefault="00181005">
      <w:pPr>
        <w:pStyle w:val="TOC2"/>
        <w:tabs>
          <w:tab w:val="left" w:pos="720"/>
          <w:tab w:val="right" w:leader="dot" w:pos="9350"/>
        </w:tabs>
        <w:rPr>
          <w:rFonts w:asciiTheme="minorHAnsi" w:eastAsiaTheme="minorEastAsia" w:hAnsiTheme="minorHAnsi" w:cstheme="minorBidi"/>
          <w:noProof/>
          <w:sz w:val="22"/>
          <w:szCs w:val="22"/>
        </w:rPr>
      </w:pPr>
      <w:hyperlink w:anchor="_Toc449441993" w:history="1">
        <w:r w:rsidR="0072694A" w:rsidRPr="00925B4F">
          <w:rPr>
            <w:rStyle w:val="Hyperlink"/>
            <w:noProof/>
          </w:rPr>
          <w:t>J.</w:t>
        </w:r>
        <w:r w:rsidR="0072694A">
          <w:rPr>
            <w:rFonts w:asciiTheme="minorHAnsi" w:eastAsiaTheme="minorEastAsia" w:hAnsiTheme="minorHAnsi" w:cstheme="minorBidi"/>
            <w:noProof/>
            <w:sz w:val="22"/>
            <w:szCs w:val="22"/>
          </w:rPr>
          <w:tab/>
        </w:r>
        <w:r w:rsidR="0072694A" w:rsidRPr="00925B4F">
          <w:rPr>
            <w:rStyle w:val="Hyperlink"/>
            <w:noProof/>
          </w:rPr>
          <w:t>THE SUBSTANTIAL BUSINESS ACTIVITIES TEST, THE SUBJECT TO TAX RULE, § 1.7874-3T(b)(4)</w:t>
        </w:r>
        <w:r w:rsidR="0072694A">
          <w:rPr>
            <w:noProof/>
            <w:webHidden/>
          </w:rPr>
          <w:tab/>
        </w:r>
        <w:r w:rsidR="0072694A">
          <w:rPr>
            <w:noProof/>
            <w:webHidden/>
          </w:rPr>
          <w:fldChar w:fldCharType="begin"/>
        </w:r>
        <w:r w:rsidR="0072694A">
          <w:rPr>
            <w:noProof/>
            <w:webHidden/>
          </w:rPr>
          <w:instrText xml:space="preserve"> PAGEREF _Toc449441993 \h </w:instrText>
        </w:r>
        <w:r w:rsidR="0072694A">
          <w:rPr>
            <w:noProof/>
            <w:webHidden/>
          </w:rPr>
        </w:r>
        <w:r w:rsidR="0072694A">
          <w:rPr>
            <w:noProof/>
            <w:webHidden/>
          </w:rPr>
          <w:fldChar w:fldCharType="separate"/>
        </w:r>
        <w:r w:rsidR="0072694A">
          <w:rPr>
            <w:noProof/>
            <w:webHidden/>
          </w:rPr>
          <w:t>25</w:t>
        </w:r>
        <w:r w:rsidR="0072694A">
          <w:rPr>
            <w:noProof/>
            <w:webHidden/>
          </w:rPr>
          <w:fldChar w:fldCharType="end"/>
        </w:r>
      </w:hyperlink>
    </w:p>
    <w:p w:rsidR="0072694A" w:rsidRDefault="00181005">
      <w:pPr>
        <w:pStyle w:val="TOC2"/>
        <w:tabs>
          <w:tab w:val="left" w:pos="720"/>
          <w:tab w:val="right" w:leader="dot" w:pos="9350"/>
        </w:tabs>
        <w:rPr>
          <w:rFonts w:asciiTheme="minorHAnsi" w:eastAsiaTheme="minorEastAsia" w:hAnsiTheme="minorHAnsi" w:cstheme="minorBidi"/>
          <w:noProof/>
          <w:sz w:val="22"/>
          <w:szCs w:val="22"/>
        </w:rPr>
      </w:pPr>
      <w:hyperlink w:anchor="_Toc449441994" w:history="1">
        <w:r w:rsidR="0072694A" w:rsidRPr="00925B4F">
          <w:rPr>
            <w:rStyle w:val="Hyperlink"/>
            <w:noProof/>
          </w:rPr>
          <w:t>K.</w:t>
        </w:r>
        <w:r w:rsidR="0072694A">
          <w:rPr>
            <w:rFonts w:asciiTheme="minorHAnsi" w:eastAsiaTheme="minorEastAsia" w:hAnsiTheme="minorHAnsi" w:cstheme="minorBidi"/>
            <w:noProof/>
            <w:sz w:val="22"/>
            <w:szCs w:val="22"/>
          </w:rPr>
          <w:tab/>
        </w:r>
        <w:r w:rsidR="0072694A" w:rsidRPr="00925B4F">
          <w:rPr>
            <w:rStyle w:val="Hyperlink"/>
            <w:noProof/>
          </w:rPr>
          <w:t>CLARIFICATION OF GROUP INCOME FOR PURPOSES OF THE SUBSTANTIAL BUSINESS ACTIVITIES TEST, § 1.7874-3</w:t>
        </w:r>
        <w:r w:rsidR="0072694A">
          <w:rPr>
            <w:noProof/>
            <w:webHidden/>
          </w:rPr>
          <w:tab/>
        </w:r>
        <w:r w:rsidR="0072694A">
          <w:rPr>
            <w:noProof/>
            <w:webHidden/>
          </w:rPr>
          <w:fldChar w:fldCharType="begin"/>
        </w:r>
        <w:r w:rsidR="0072694A">
          <w:rPr>
            <w:noProof/>
            <w:webHidden/>
          </w:rPr>
          <w:instrText xml:space="preserve"> PAGEREF _Toc449441994 \h </w:instrText>
        </w:r>
        <w:r w:rsidR="0072694A">
          <w:rPr>
            <w:noProof/>
            <w:webHidden/>
          </w:rPr>
        </w:r>
        <w:r w:rsidR="0072694A">
          <w:rPr>
            <w:noProof/>
            <w:webHidden/>
          </w:rPr>
          <w:fldChar w:fldCharType="separate"/>
        </w:r>
        <w:r w:rsidR="0072694A">
          <w:rPr>
            <w:noProof/>
            <w:webHidden/>
          </w:rPr>
          <w:t>25</w:t>
        </w:r>
        <w:r w:rsidR="0072694A">
          <w:rPr>
            <w:noProof/>
            <w:webHidden/>
          </w:rPr>
          <w:fldChar w:fldCharType="end"/>
        </w:r>
      </w:hyperlink>
    </w:p>
    <w:p w:rsidR="0072694A" w:rsidRDefault="00181005">
      <w:pPr>
        <w:pStyle w:val="TOC2"/>
        <w:tabs>
          <w:tab w:val="left" w:pos="720"/>
          <w:tab w:val="right" w:leader="dot" w:pos="9350"/>
        </w:tabs>
        <w:rPr>
          <w:rFonts w:asciiTheme="minorHAnsi" w:eastAsiaTheme="minorEastAsia" w:hAnsiTheme="minorHAnsi" w:cstheme="minorBidi"/>
          <w:noProof/>
          <w:sz w:val="22"/>
          <w:szCs w:val="22"/>
        </w:rPr>
      </w:pPr>
      <w:hyperlink w:anchor="_Toc449441995" w:history="1">
        <w:r w:rsidR="0072694A" w:rsidRPr="00925B4F">
          <w:rPr>
            <w:rStyle w:val="Hyperlink"/>
            <w:noProof/>
          </w:rPr>
          <w:t>L.</w:t>
        </w:r>
        <w:r w:rsidR="0072694A">
          <w:rPr>
            <w:rFonts w:asciiTheme="minorHAnsi" w:eastAsiaTheme="minorEastAsia" w:hAnsiTheme="minorHAnsi" w:cstheme="minorBidi"/>
            <w:noProof/>
            <w:sz w:val="22"/>
            <w:szCs w:val="22"/>
          </w:rPr>
          <w:tab/>
        </w:r>
        <w:r w:rsidR="0072694A" w:rsidRPr="00925B4F">
          <w:rPr>
            <w:rStyle w:val="Hyperlink"/>
            <w:noProof/>
          </w:rPr>
          <w:t>THE ANTI-HOPSCOTCH LOAN RULE, SECTION §1.956-2T(a)(4)</w:t>
        </w:r>
        <w:r w:rsidR="0072694A">
          <w:rPr>
            <w:noProof/>
            <w:webHidden/>
          </w:rPr>
          <w:tab/>
        </w:r>
        <w:r w:rsidR="0072694A">
          <w:rPr>
            <w:noProof/>
            <w:webHidden/>
          </w:rPr>
          <w:fldChar w:fldCharType="begin"/>
        </w:r>
        <w:r w:rsidR="0072694A">
          <w:rPr>
            <w:noProof/>
            <w:webHidden/>
          </w:rPr>
          <w:instrText xml:space="preserve"> PAGEREF _Toc449441995 \h </w:instrText>
        </w:r>
        <w:r w:rsidR="0072694A">
          <w:rPr>
            <w:noProof/>
            <w:webHidden/>
          </w:rPr>
        </w:r>
        <w:r w:rsidR="0072694A">
          <w:rPr>
            <w:noProof/>
            <w:webHidden/>
          </w:rPr>
          <w:fldChar w:fldCharType="separate"/>
        </w:r>
        <w:r w:rsidR="0072694A">
          <w:rPr>
            <w:noProof/>
            <w:webHidden/>
          </w:rPr>
          <w:t>26</w:t>
        </w:r>
        <w:r w:rsidR="0072694A">
          <w:rPr>
            <w:noProof/>
            <w:webHidden/>
          </w:rPr>
          <w:fldChar w:fldCharType="end"/>
        </w:r>
      </w:hyperlink>
    </w:p>
    <w:p w:rsidR="0072694A" w:rsidRDefault="00181005">
      <w:pPr>
        <w:pStyle w:val="TOC2"/>
        <w:tabs>
          <w:tab w:val="left" w:pos="960"/>
          <w:tab w:val="right" w:leader="dot" w:pos="9350"/>
        </w:tabs>
        <w:rPr>
          <w:rFonts w:asciiTheme="minorHAnsi" w:eastAsiaTheme="minorEastAsia" w:hAnsiTheme="minorHAnsi" w:cstheme="minorBidi"/>
          <w:noProof/>
          <w:sz w:val="22"/>
          <w:szCs w:val="22"/>
        </w:rPr>
      </w:pPr>
      <w:hyperlink w:anchor="_Toc449441996" w:history="1">
        <w:r w:rsidR="0072694A" w:rsidRPr="00925B4F">
          <w:rPr>
            <w:rStyle w:val="Hyperlink"/>
            <w:noProof/>
          </w:rPr>
          <w:t>M.</w:t>
        </w:r>
        <w:r w:rsidR="0072694A">
          <w:rPr>
            <w:rFonts w:asciiTheme="minorHAnsi" w:eastAsiaTheme="minorEastAsia" w:hAnsiTheme="minorHAnsi" w:cstheme="minorBidi"/>
            <w:noProof/>
            <w:sz w:val="22"/>
            <w:szCs w:val="22"/>
          </w:rPr>
          <w:tab/>
        </w:r>
        <w:r w:rsidR="0072694A" w:rsidRPr="00925B4F">
          <w:rPr>
            <w:rStyle w:val="Hyperlink"/>
            <w:noProof/>
          </w:rPr>
          <w:t>THE SECTION 7701(l) RECHARACTERIZATION RULE, SECTION §1.7701(l)-4T</w:t>
        </w:r>
        <w:r w:rsidR="0072694A">
          <w:rPr>
            <w:noProof/>
            <w:webHidden/>
          </w:rPr>
          <w:tab/>
        </w:r>
        <w:r w:rsidR="0072694A">
          <w:rPr>
            <w:noProof/>
            <w:webHidden/>
          </w:rPr>
          <w:fldChar w:fldCharType="begin"/>
        </w:r>
        <w:r w:rsidR="0072694A">
          <w:rPr>
            <w:noProof/>
            <w:webHidden/>
          </w:rPr>
          <w:instrText xml:space="preserve"> PAGEREF _Toc449441996 \h </w:instrText>
        </w:r>
        <w:r w:rsidR="0072694A">
          <w:rPr>
            <w:noProof/>
            <w:webHidden/>
          </w:rPr>
        </w:r>
        <w:r w:rsidR="0072694A">
          <w:rPr>
            <w:noProof/>
            <w:webHidden/>
          </w:rPr>
          <w:fldChar w:fldCharType="separate"/>
        </w:r>
        <w:r w:rsidR="0072694A">
          <w:rPr>
            <w:noProof/>
            <w:webHidden/>
          </w:rPr>
          <w:t>27</w:t>
        </w:r>
        <w:r w:rsidR="0072694A">
          <w:rPr>
            <w:noProof/>
            <w:webHidden/>
          </w:rPr>
          <w:fldChar w:fldCharType="end"/>
        </w:r>
      </w:hyperlink>
    </w:p>
    <w:p w:rsidR="0072694A" w:rsidRDefault="00181005">
      <w:pPr>
        <w:pStyle w:val="TOC2"/>
        <w:tabs>
          <w:tab w:val="left" w:pos="720"/>
          <w:tab w:val="right" w:leader="dot" w:pos="9350"/>
        </w:tabs>
        <w:rPr>
          <w:rFonts w:asciiTheme="minorHAnsi" w:eastAsiaTheme="minorEastAsia" w:hAnsiTheme="minorHAnsi" w:cstheme="minorBidi"/>
          <w:noProof/>
          <w:sz w:val="22"/>
          <w:szCs w:val="22"/>
        </w:rPr>
      </w:pPr>
      <w:hyperlink w:anchor="_Toc449441997" w:history="1">
        <w:r w:rsidR="0072694A" w:rsidRPr="00925B4F">
          <w:rPr>
            <w:rStyle w:val="Hyperlink"/>
            <w:noProof/>
          </w:rPr>
          <w:t>N.</w:t>
        </w:r>
        <w:r w:rsidR="0072694A">
          <w:rPr>
            <w:rFonts w:asciiTheme="minorHAnsi" w:eastAsiaTheme="minorEastAsia" w:hAnsiTheme="minorHAnsi" w:cstheme="minorBidi"/>
            <w:noProof/>
            <w:sz w:val="22"/>
            <w:szCs w:val="22"/>
          </w:rPr>
          <w:tab/>
        </w:r>
        <w:r w:rsidR="0072694A" w:rsidRPr="00925B4F">
          <w:rPr>
            <w:rStyle w:val="Hyperlink"/>
            <w:noProof/>
          </w:rPr>
          <w:t>THE SECTION 367(b) STOCK DILUTION RULE, SECTION §1.367(b)--4T(e)</w:t>
        </w:r>
        <w:r w:rsidR="0072694A">
          <w:rPr>
            <w:noProof/>
            <w:webHidden/>
          </w:rPr>
          <w:tab/>
        </w:r>
        <w:r w:rsidR="0072694A">
          <w:rPr>
            <w:noProof/>
            <w:webHidden/>
          </w:rPr>
          <w:fldChar w:fldCharType="begin"/>
        </w:r>
        <w:r w:rsidR="0072694A">
          <w:rPr>
            <w:noProof/>
            <w:webHidden/>
          </w:rPr>
          <w:instrText xml:space="preserve"> PAGEREF _Toc449441997 \h </w:instrText>
        </w:r>
        <w:r w:rsidR="0072694A">
          <w:rPr>
            <w:noProof/>
            <w:webHidden/>
          </w:rPr>
        </w:r>
        <w:r w:rsidR="0072694A">
          <w:rPr>
            <w:noProof/>
            <w:webHidden/>
          </w:rPr>
          <w:fldChar w:fldCharType="separate"/>
        </w:r>
        <w:r w:rsidR="0072694A">
          <w:rPr>
            <w:noProof/>
            <w:webHidden/>
          </w:rPr>
          <w:t>28</w:t>
        </w:r>
        <w:r w:rsidR="0072694A">
          <w:rPr>
            <w:noProof/>
            <w:webHidden/>
          </w:rPr>
          <w:fldChar w:fldCharType="end"/>
        </w:r>
      </w:hyperlink>
    </w:p>
    <w:p w:rsidR="0072694A" w:rsidRDefault="00181005">
      <w:pPr>
        <w:pStyle w:val="TOC2"/>
        <w:tabs>
          <w:tab w:val="left" w:pos="720"/>
          <w:tab w:val="right" w:leader="dot" w:pos="9350"/>
        </w:tabs>
        <w:rPr>
          <w:rFonts w:asciiTheme="minorHAnsi" w:eastAsiaTheme="minorEastAsia" w:hAnsiTheme="minorHAnsi" w:cstheme="minorBidi"/>
          <w:noProof/>
          <w:sz w:val="22"/>
          <w:szCs w:val="22"/>
        </w:rPr>
      </w:pPr>
      <w:hyperlink w:anchor="_Toc449441998" w:history="1">
        <w:r w:rsidR="0072694A" w:rsidRPr="00925B4F">
          <w:rPr>
            <w:rStyle w:val="Hyperlink"/>
            <w:noProof/>
          </w:rPr>
          <w:t>O.</w:t>
        </w:r>
        <w:r w:rsidR="0072694A">
          <w:rPr>
            <w:rFonts w:asciiTheme="minorHAnsi" w:eastAsiaTheme="minorEastAsia" w:hAnsiTheme="minorHAnsi" w:cstheme="minorBidi"/>
            <w:noProof/>
            <w:sz w:val="22"/>
            <w:szCs w:val="22"/>
          </w:rPr>
          <w:tab/>
        </w:r>
        <w:r w:rsidR="0072694A" w:rsidRPr="00925B4F">
          <w:rPr>
            <w:rStyle w:val="Hyperlink"/>
            <w:noProof/>
          </w:rPr>
          <w:t>THE SECTION 367(b) ASSET DILUTION RULE, SECTION §1.367(b)--4T(f)</w:t>
        </w:r>
        <w:r w:rsidR="0072694A">
          <w:rPr>
            <w:noProof/>
            <w:webHidden/>
          </w:rPr>
          <w:tab/>
        </w:r>
        <w:r w:rsidR="0072694A">
          <w:rPr>
            <w:noProof/>
            <w:webHidden/>
          </w:rPr>
          <w:fldChar w:fldCharType="begin"/>
        </w:r>
        <w:r w:rsidR="0072694A">
          <w:rPr>
            <w:noProof/>
            <w:webHidden/>
          </w:rPr>
          <w:instrText xml:space="preserve"> PAGEREF _Toc449441998 \h </w:instrText>
        </w:r>
        <w:r w:rsidR="0072694A">
          <w:rPr>
            <w:noProof/>
            <w:webHidden/>
          </w:rPr>
        </w:r>
        <w:r w:rsidR="0072694A">
          <w:rPr>
            <w:noProof/>
            <w:webHidden/>
          </w:rPr>
          <w:fldChar w:fldCharType="separate"/>
        </w:r>
        <w:r w:rsidR="0072694A">
          <w:rPr>
            <w:noProof/>
            <w:webHidden/>
          </w:rPr>
          <w:t>30</w:t>
        </w:r>
        <w:r w:rsidR="0072694A">
          <w:rPr>
            <w:noProof/>
            <w:webHidden/>
          </w:rPr>
          <w:fldChar w:fldCharType="end"/>
        </w:r>
      </w:hyperlink>
    </w:p>
    <w:p w:rsidR="0072694A" w:rsidRDefault="00181005">
      <w:pPr>
        <w:pStyle w:val="TOC2"/>
        <w:tabs>
          <w:tab w:val="left" w:pos="720"/>
          <w:tab w:val="right" w:leader="dot" w:pos="9350"/>
        </w:tabs>
        <w:rPr>
          <w:rFonts w:asciiTheme="minorHAnsi" w:eastAsiaTheme="minorEastAsia" w:hAnsiTheme="minorHAnsi" w:cstheme="minorBidi"/>
          <w:noProof/>
          <w:sz w:val="22"/>
          <w:szCs w:val="22"/>
        </w:rPr>
      </w:pPr>
      <w:hyperlink w:anchor="_Toc449441999" w:history="1">
        <w:r w:rsidR="0072694A" w:rsidRPr="00925B4F">
          <w:rPr>
            <w:rStyle w:val="Hyperlink"/>
            <w:noProof/>
          </w:rPr>
          <w:t>P.</w:t>
        </w:r>
        <w:r w:rsidR="0072694A">
          <w:rPr>
            <w:rFonts w:asciiTheme="minorHAnsi" w:eastAsiaTheme="minorEastAsia" w:hAnsiTheme="minorHAnsi" w:cstheme="minorBidi"/>
            <w:noProof/>
            <w:sz w:val="22"/>
            <w:szCs w:val="22"/>
          </w:rPr>
          <w:tab/>
        </w:r>
        <w:r w:rsidR="0072694A" w:rsidRPr="00925B4F">
          <w:rPr>
            <w:rStyle w:val="Hyperlink"/>
            <w:noProof/>
          </w:rPr>
          <w:t>THE SECTION 304 RULES, SECTION §1.304--7T</w:t>
        </w:r>
        <w:r w:rsidR="0072694A">
          <w:rPr>
            <w:noProof/>
            <w:webHidden/>
          </w:rPr>
          <w:tab/>
        </w:r>
        <w:r w:rsidR="0072694A">
          <w:rPr>
            <w:noProof/>
            <w:webHidden/>
          </w:rPr>
          <w:fldChar w:fldCharType="begin"/>
        </w:r>
        <w:r w:rsidR="0072694A">
          <w:rPr>
            <w:noProof/>
            <w:webHidden/>
          </w:rPr>
          <w:instrText xml:space="preserve"> PAGEREF _Toc449441999 \h </w:instrText>
        </w:r>
        <w:r w:rsidR="0072694A">
          <w:rPr>
            <w:noProof/>
            <w:webHidden/>
          </w:rPr>
        </w:r>
        <w:r w:rsidR="0072694A">
          <w:rPr>
            <w:noProof/>
            <w:webHidden/>
          </w:rPr>
          <w:fldChar w:fldCharType="separate"/>
        </w:r>
        <w:r w:rsidR="0072694A">
          <w:rPr>
            <w:noProof/>
            <w:webHidden/>
          </w:rPr>
          <w:t>30</w:t>
        </w:r>
        <w:r w:rsidR="0072694A">
          <w:rPr>
            <w:noProof/>
            <w:webHidden/>
          </w:rPr>
          <w:fldChar w:fldCharType="end"/>
        </w:r>
      </w:hyperlink>
    </w:p>
    <w:p w:rsidR="0072694A" w:rsidRDefault="00181005">
      <w:pPr>
        <w:pStyle w:val="TOC2"/>
        <w:tabs>
          <w:tab w:val="left" w:pos="720"/>
          <w:tab w:val="right" w:leader="dot" w:pos="9350"/>
        </w:tabs>
        <w:rPr>
          <w:rFonts w:asciiTheme="minorHAnsi" w:eastAsiaTheme="minorEastAsia" w:hAnsiTheme="minorHAnsi" w:cstheme="minorBidi"/>
          <w:noProof/>
          <w:sz w:val="22"/>
          <w:szCs w:val="22"/>
        </w:rPr>
      </w:pPr>
      <w:hyperlink w:anchor="_Toc449442000" w:history="1">
        <w:r w:rsidR="0072694A" w:rsidRPr="00925B4F">
          <w:rPr>
            <w:rStyle w:val="Hyperlink"/>
            <w:noProof/>
          </w:rPr>
          <w:t>Q.</w:t>
        </w:r>
        <w:r w:rsidR="0072694A">
          <w:rPr>
            <w:rFonts w:asciiTheme="minorHAnsi" w:eastAsiaTheme="minorEastAsia" w:hAnsiTheme="minorHAnsi" w:cstheme="minorBidi"/>
            <w:noProof/>
            <w:sz w:val="22"/>
            <w:szCs w:val="22"/>
          </w:rPr>
          <w:tab/>
        </w:r>
        <w:r w:rsidR="0072694A" w:rsidRPr="00925B4F">
          <w:rPr>
            <w:rStyle w:val="Hyperlink"/>
            <w:noProof/>
          </w:rPr>
          <w:t>THE INVERSION GAIN RULE, SECTION §1.7874-11T</w:t>
        </w:r>
        <w:r w:rsidR="0072694A">
          <w:rPr>
            <w:noProof/>
            <w:webHidden/>
          </w:rPr>
          <w:tab/>
        </w:r>
        <w:r w:rsidR="0072694A">
          <w:rPr>
            <w:noProof/>
            <w:webHidden/>
          </w:rPr>
          <w:fldChar w:fldCharType="begin"/>
        </w:r>
        <w:r w:rsidR="0072694A">
          <w:rPr>
            <w:noProof/>
            <w:webHidden/>
          </w:rPr>
          <w:instrText xml:space="preserve"> PAGEREF _Toc449442000 \h </w:instrText>
        </w:r>
        <w:r w:rsidR="0072694A">
          <w:rPr>
            <w:noProof/>
            <w:webHidden/>
          </w:rPr>
        </w:r>
        <w:r w:rsidR="0072694A">
          <w:rPr>
            <w:noProof/>
            <w:webHidden/>
          </w:rPr>
          <w:fldChar w:fldCharType="separate"/>
        </w:r>
        <w:r w:rsidR="0072694A">
          <w:rPr>
            <w:noProof/>
            <w:webHidden/>
          </w:rPr>
          <w:t>31</w:t>
        </w:r>
        <w:r w:rsidR="0072694A">
          <w:rPr>
            <w:noProof/>
            <w:webHidden/>
          </w:rPr>
          <w:fldChar w:fldCharType="end"/>
        </w:r>
      </w:hyperlink>
    </w:p>
    <w:p w:rsidR="0072694A" w:rsidRDefault="00181005">
      <w:pPr>
        <w:pStyle w:val="TOC1"/>
        <w:tabs>
          <w:tab w:val="left" w:pos="480"/>
          <w:tab w:val="right" w:leader="dot" w:pos="9350"/>
        </w:tabs>
        <w:rPr>
          <w:rFonts w:asciiTheme="minorHAnsi" w:eastAsiaTheme="minorEastAsia" w:hAnsiTheme="minorHAnsi" w:cstheme="minorBidi"/>
          <w:noProof/>
          <w:sz w:val="22"/>
          <w:szCs w:val="22"/>
        </w:rPr>
      </w:pPr>
      <w:hyperlink w:anchor="_Toc449442001" w:history="1">
        <w:r w:rsidR="0072694A" w:rsidRPr="00925B4F">
          <w:rPr>
            <w:rStyle w:val="Hyperlink"/>
            <w:noProof/>
          </w:rPr>
          <w:t>III</w:t>
        </w:r>
        <w:r w:rsidR="0072694A">
          <w:rPr>
            <w:rFonts w:asciiTheme="minorHAnsi" w:eastAsiaTheme="minorEastAsia" w:hAnsiTheme="minorHAnsi" w:cstheme="minorBidi"/>
            <w:noProof/>
            <w:sz w:val="22"/>
            <w:szCs w:val="22"/>
          </w:rPr>
          <w:tab/>
        </w:r>
        <w:r w:rsidR="0072694A" w:rsidRPr="00925B4F">
          <w:rPr>
            <w:rStyle w:val="Hyperlink"/>
            <w:noProof/>
          </w:rPr>
          <w:t>THE 2016 TREASURY INTEREST STRIPPING REGULATIONS UNDER SECTION 385</w:t>
        </w:r>
        <w:r w:rsidR="0072694A">
          <w:rPr>
            <w:noProof/>
            <w:webHidden/>
          </w:rPr>
          <w:tab/>
        </w:r>
        <w:r w:rsidR="0072694A">
          <w:rPr>
            <w:noProof/>
            <w:webHidden/>
          </w:rPr>
          <w:fldChar w:fldCharType="begin"/>
        </w:r>
        <w:r w:rsidR="0072694A">
          <w:rPr>
            <w:noProof/>
            <w:webHidden/>
          </w:rPr>
          <w:instrText xml:space="preserve"> PAGEREF _Toc449442001 \h </w:instrText>
        </w:r>
        <w:r w:rsidR="0072694A">
          <w:rPr>
            <w:noProof/>
            <w:webHidden/>
          </w:rPr>
        </w:r>
        <w:r w:rsidR="0072694A">
          <w:rPr>
            <w:noProof/>
            <w:webHidden/>
          </w:rPr>
          <w:fldChar w:fldCharType="separate"/>
        </w:r>
        <w:r w:rsidR="0072694A">
          <w:rPr>
            <w:noProof/>
            <w:webHidden/>
          </w:rPr>
          <w:t>32</w:t>
        </w:r>
        <w:r w:rsidR="0072694A">
          <w:rPr>
            <w:noProof/>
            <w:webHidden/>
          </w:rPr>
          <w:fldChar w:fldCharType="end"/>
        </w:r>
      </w:hyperlink>
    </w:p>
    <w:p w:rsidR="0072694A" w:rsidRDefault="00181005">
      <w:pPr>
        <w:pStyle w:val="TOC2"/>
        <w:tabs>
          <w:tab w:val="left" w:pos="720"/>
          <w:tab w:val="right" w:leader="dot" w:pos="9350"/>
        </w:tabs>
        <w:rPr>
          <w:rFonts w:asciiTheme="minorHAnsi" w:eastAsiaTheme="minorEastAsia" w:hAnsiTheme="minorHAnsi" w:cstheme="minorBidi"/>
          <w:noProof/>
          <w:sz w:val="22"/>
          <w:szCs w:val="22"/>
        </w:rPr>
      </w:pPr>
      <w:hyperlink w:anchor="_Toc449442002" w:history="1">
        <w:r w:rsidR="0072694A" w:rsidRPr="00925B4F">
          <w:rPr>
            <w:rStyle w:val="Hyperlink"/>
            <w:noProof/>
          </w:rPr>
          <w:t>A.</w:t>
        </w:r>
        <w:r w:rsidR="0072694A">
          <w:rPr>
            <w:rFonts w:asciiTheme="minorHAnsi" w:eastAsiaTheme="minorEastAsia" w:hAnsiTheme="minorHAnsi" w:cstheme="minorBidi"/>
            <w:noProof/>
            <w:sz w:val="22"/>
            <w:szCs w:val="22"/>
          </w:rPr>
          <w:tab/>
        </w:r>
        <w:r w:rsidR="0072694A" w:rsidRPr="00925B4F">
          <w:rPr>
            <w:rStyle w:val="Hyperlink"/>
            <w:noProof/>
          </w:rPr>
          <w:t>INTRODUCTION TO THE 2016 TREASURY REGULATIONS (1) IMPLEMENTING THE 2014 AND 2015 TREASURY NOTICES, AND (2) PROMULGATING REGULATIONS UNDER SECTION 385</w:t>
        </w:r>
        <w:r w:rsidR="0072694A">
          <w:rPr>
            <w:noProof/>
            <w:webHidden/>
          </w:rPr>
          <w:tab/>
        </w:r>
        <w:r w:rsidR="0072694A">
          <w:rPr>
            <w:noProof/>
            <w:webHidden/>
          </w:rPr>
          <w:fldChar w:fldCharType="begin"/>
        </w:r>
        <w:r w:rsidR="0072694A">
          <w:rPr>
            <w:noProof/>
            <w:webHidden/>
          </w:rPr>
          <w:instrText xml:space="preserve"> PAGEREF _Toc449442002 \h </w:instrText>
        </w:r>
        <w:r w:rsidR="0072694A">
          <w:rPr>
            <w:noProof/>
            <w:webHidden/>
          </w:rPr>
        </w:r>
        <w:r w:rsidR="0072694A">
          <w:rPr>
            <w:noProof/>
            <w:webHidden/>
          </w:rPr>
          <w:fldChar w:fldCharType="separate"/>
        </w:r>
        <w:r w:rsidR="0072694A">
          <w:rPr>
            <w:noProof/>
            <w:webHidden/>
          </w:rPr>
          <w:t>32</w:t>
        </w:r>
        <w:r w:rsidR="0072694A">
          <w:rPr>
            <w:noProof/>
            <w:webHidden/>
          </w:rPr>
          <w:fldChar w:fldCharType="end"/>
        </w:r>
      </w:hyperlink>
    </w:p>
    <w:p w:rsidR="0072694A" w:rsidRDefault="00181005">
      <w:pPr>
        <w:pStyle w:val="TOC2"/>
        <w:tabs>
          <w:tab w:val="left" w:pos="720"/>
          <w:tab w:val="right" w:leader="dot" w:pos="9350"/>
        </w:tabs>
        <w:rPr>
          <w:rFonts w:asciiTheme="minorHAnsi" w:eastAsiaTheme="minorEastAsia" w:hAnsiTheme="minorHAnsi" w:cstheme="minorBidi"/>
          <w:noProof/>
          <w:sz w:val="22"/>
          <w:szCs w:val="22"/>
        </w:rPr>
      </w:pPr>
      <w:hyperlink w:anchor="_Toc449442003" w:history="1">
        <w:r w:rsidR="0072694A" w:rsidRPr="00925B4F">
          <w:rPr>
            <w:rStyle w:val="Hyperlink"/>
            <w:noProof/>
          </w:rPr>
          <w:t>B.</w:t>
        </w:r>
        <w:r w:rsidR="0072694A">
          <w:rPr>
            <w:rFonts w:asciiTheme="minorHAnsi" w:eastAsiaTheme="minorEastAsia" w:hAnsiTheme="minorHAnsi" w:cstheme="minorBidi"/>
            <w:noProof/>
            <w:sz w:val="22"/>
            <w:szCs w:val="22"/>
          </w:rPr>
          <w:tab/>
        </w:r>
        <w:r w:rsidR="0072694A" w:rsidRPr="00925B4F">
          <w:rPr>
            <w:rStyle w:val="Hyperlink"/>
            <w:noProof/>
          </w:rPr>
          <w:t>ILLUSTRATION OF A PRE-SECTION 385 INTEREST STRIPPING TRANSACTION</w:t>
        </w:r>
        <w:r w:rsidR="0072694A">
          <w:rPr>
            <w:noProof/>
            <w:webHidden/>
          </w:rPr>
          <w:tab/>
        </w:r>
        <w:r w:rsidR="0072694A">
          <w:rPr>
            <w:noProof/>
            <w:webHidden/>
          </w:rPr>
          <w:fldChar w:fldCharType="begin"/>
        </w:r>
        <w:r w:rsidR="0072694A">
          <w:rPr>
            <w:noProof/>
            <w:webHidden/>
          </w:rPr>
          <w:instrText xml:space="preserve"> PAGEREF _Toc449442003 \h </w:instrText>
        </w:r>
        <w:r w:rsidR="0072694A">
          <w:rPr>
            <w:noProof/>
            <w:webHidden/>
          </w:rPr>
        </w:r>
        <w:r w:rsidR="0072694A">
          <w:rPr>
            <w:noProof/>
            <w:webHidden/>
          </w:rPr>
          <w:fldChar w:fldCharType="separate"/>
        </w:r>
        <w:r w:rsidR="0072694A">
          <w:rPr>
            <w:noProof/>
            <w:webHidden/>
          </w:rPr>
          <w:t>32</w:t>
        </w:r>
        <w:r w:rsidR="0072694A">
          <w:rPr>
            <w:noProof/>
            <w:webHidden/>
          </w:rPr>
          <w:fldChar w:fldCharType="end"/>
        </w:r>
      </w:hyperlink>
    </w:p>
    <w:p w:rsidR="0072694A" w:rsidRDefault="00181005">
      <w:pPr>
        <w:pStyle w:val="TOC2"/>
        <w:tabs>
          <w:tab w:val="left" w:pos="720"/>
          <w:tab w:val="right" w:leader="dot" w:pos="9350"/>
        </w:tabs>
        <w:rPr>
          <w:rFonts w:asciiTheme="minorHAnsi" w:eastAsiaTheme="minorEastAsia" w:hAnsiTheme="minorHAnsi" w:cstheme="minorBidi"/>
          <w:noProof/>
          <w:sz w:val="22"/>
          <w:szCs w:val="22"/>
        </w:rPr>
      </w:pPr>
      <w:hyperlink w:anchor="_Toc449442004" w:history="1">
        <w:r w:rsidR="0072694A" w:rsidRPr="00925B4F">
          <w:rPr>
            <w:rStyle w:val="Hyperlink"/>
            <w:noProof/>
          </w:rPr>
          <w:t>C.</w:t>
        </w:r>
        <w:r w:rsidR="0072694A">
          <w:rPr>
            <w:rFonts w:asciiTheme="minorHAnsi" w:eastAsiaTheme="minorEastAsia" w:hAnsiTheme="minorHAnsi" w:cstheme="minorBidi"/>
            <w:noProof/>
            <w:sz w:val="22"/>
            <w:szCs w:val="22"/>
          </w:rPr>
          <w:tab/>
        </w:r>
        <w:r w:rsidR="0072694A" w:rsidRPr="00925B4F">
          <w:rPr>
            <w:rStyle w:val="Hyperlink"/>
            <w:noProof/>
          </w:rPr>
          <w:t>SECTION 385 AND THE TREASURY’S AUTHORITY</w:t>
        </w:r>
        <w:r w:rsidR="0072694A">
          <w:rPr>
            <w:noProof/>
            <w:webHidden/>
          </w:rPr>
          <w:tab/>
        </w:r>
        <w:r w:rsidR="0072694A">
          <w:rPr>
            <w:noProof/>
            <w:webHidden/>
          </w:rPr>
          <w:fldChar w:fldCharType="begin"/>
        </w:r>
        <w:r w:rsidR="0072694A">
          <w:rPr>
            <w:noProof/>
            <w:webHidden/>
          </w:rPr>
          <w:instrText xml:space="preserve"> PAGEREF _Toc449442004 \h </w:instrText>
        </w:r>
        <w:r w:rsidR="0072694A">
          <w:rPr>
            <w:noProof/>
            <w:webHidden/>
          </w:rPr>
        </w:r>
        <w:r w:rsidR="0072694A">
          <w:rPr>
            <w:noProof/>
            <w:webHidden/>
          </w:rPr>
          <w:fldChar w:fldCharType="separate"/>
        </w:r>
        <w:r w:rsidR="0072694A">
          <w:rPr>
            <w:noProof/>
            <w:webHidden/>
          </w:rPr>
          <w:t>33</w:t>
        </w:r>
        <w:r w:rsidR="0072694A">
          <w:rPr>
            <w:noProof/>
            <w:webHidden/>
          </w:rPr>
          <w:fldChar w:fldCharType="end"/>
        </w:r>
      </w:hyperlink>
    </w:p>
    <w:p w:rsidR="0072694A" w:rsidRDefault="00181005">
      <w:pPr>
        <w:pStyle w:val="TOC3"/>
        <w:tabs>
          <w:tab w:val="left" w:pos="960"/>
          <w:tab w:val="right" w:leader="dot" w:pos="9350"/>
        </w:tabs>
        <w:rPr>
          <w:rFonts w:asciiTheme="minorHAnsi" w:eastAsiaTheme="minorEastAsia" w:hAnsiTheme="minorHAnsi" w:cstheme="minorBidi"/>
          <w:noProof/>
          <w:sz w:val="22"/>
          <w:szCs w:val="22"/>
        </w:rPr>
      </w:pPr>
      <w:hyperlink w:anchor="_Toc449442005" w:history="1">
        <w:r w:rsidR="0072694A" w:rsidRPr="00925B4F">
          <w:rPr>
            <w:rStyle w:val="Hyperlink"/>
            <w:noProof/>
          </w:rPr>
          <w:t>1.</w:t>
        </w:r>
        <w:r w:rsidR="0072694A">
          <w:rPr>
            <w:rFonts w:asciiTheme="minorHAnsi" w:eastAsiaTheme="minorEastAsia" w:hAnsiTheme="minorHAnsi" w:cstheme="minorBidi"/>
            <w:noProof/>
            <w:sz w:val="22"/>
            <w:szCs w:val="22"/>
          </w:rPr>
          <w:tab/>
        </w:r>
        <w:r w:rsidR="0072694A" w:rsidRPr="00925B4F">
          <w:rPr>
            <w:rStyle w:val="Hyperlink"/>
            <w:noProof/>
          </w:rPr>
          <w:t>INTRODUCTION</w:t>
        </w:r>
        <w:r w:rsidR="0072694A">
          <w:rPr>
            <w:noProof/>
            <w:webHidden/>
          </w:rPr>
          <w:tab/>
        </w:r>
        <w:r w:rsidR="0072694A">
          <w:rPr>
            <w:noProof/>
            <w:webHidden/>
          </w:rPr>
          <w:fldChar w:fldCharType="begin"/>
        </w:r>
        <w:r w:rsidR="0072694A">
          <w:rPr>
            <w:noProof/>
            <w:webHidden/>
          </w:rPr>
          <w:instrText xml:space="preserve"> PAGEREF _Toc449442005 \h </w:instrText>
        </w:r>
        <w:r w:rsidR="0072694A">
          <w:rPr>
            <w:noProof/>
            <w:webHidden/>
          </w:rPr>
        </w:r>
        <w:r w:rsidR="0072694A">
          <w:rPr>
            <w:noProof/>
            <w:webHidden/>
          </w:rPr>
          <w:fldChar w:fldCharType="separate"/>
        </w:r>
        <w:r w:rsidR="0072694A">
          <w:rPr>
            <w:noProof/>
            <w:webHidden/>
          </w:rPr>
          <w:t>33</w:t>
        </w:r>
        <w:r w:rsidR="0072694A">
          <w:rPr>
            <w:noProof/>
            <w:webHidden/>
          </w:rPr>
          <w:fldChar w:fldCharType="end"/>
        </w:r>
      </w:hyperlink>
    </w:p>
    <w:p w:rsidR="0072694A" w:rsidRDefault="00181005">
      <w:pPr>
        <w:pStyle w:val="TOC3"/>
        <w:tabs>
          <w:tab w:val="left" w:pos="960"/>
          <w:tab w:val="right" w:leader="dot" w:pos="9350"/>
        </w:tabs>
        <w:rPr>
          <w:rFonts w:asciiTheme="minorHAnsi" w:eastAsiaTheme="minorEastAsia" w:hAnsiTheme="minorHAnsi" w:cstheme="minorBidi"/>
          <w:noProof/>
          <w:sz w:val="22"/>
          <w:szCs w:val="22"/>
        </w:rPr>
      </w:pPr>
      <w:hyperlink w:anchor="_Toc449442006" w:history="1">
        <w:r w:rsidR="0072694A" w:rsidRPr="00925B4F">
          <w:rPr>
            <w:rStyle w:val="Hyperlink"/>
            <w:noProof/>
          </w:rPr>
          <w:t>2.</w:t>
        </w:r>
        <w:r w:rsidR="0072694A">
          <w:rPr>
            <w:rFonts w:asciiTheme="minorHAnsi" w:eastAsiaTheme="minorEastAsia" w:hAnsiTheme="minorHAnsi" w:cstheme="minorBidi"/>
            <w:noProof/>
            <w:sz w:val="22"/>
            <w:szCs w:val="22"/>
          </w:rPr>
          <w:tab/>
        </w:r>
        <w:r w:rsidR="0072694A" w:rsidRPr="00925B4F">
          <w:rPr>
            <w:rStyle w:val="Hyperlink"/>
            <w:noProof/>
          </w:rPr>
          <w:t>SECTION 385: TREATMENT OF CERTAIN INTERESTS IN CORPORATIONS AS STOCK OR INDEBTEDNESS</w:t>
        </w:r>
        <w:r w:rsidR="0072694A">
          <w:rPr>
            <w:noProof/>
            <w:webHidden/>
          </w:rPr>
          <w:tab/>
        </w:r>
        <w:r w:rsidR="0072694A">
          <w:rPr>
            <w:noProof/>
            <w:webHidden/>
          </w:rPr>
          <w:fldChar w:fldCharType="begin"/>
        </w:r>
        <w:r w:rsidR="0072694A">
          <w:rPr>
            <w:noProof/>
            <w:webHidden/>
          </w:rPr>
          <w:instrText xml:space="preserve"> PAGEREF _Toc449442006 \h </w:instrText>
        </w:r>
        <w:r w:rsidR="0072694A">
          <w:rPr>
            <w:noProof/>
            <w:webHidden/>
          </w:rPr>
        </w:r>
        <w:r w:rsidR="0072694A">
          <w:rPr>
            <w:noProof/>
            <w:webHidden/>
          </w:rPr>
          <w:fldChar w:fldCharType="separate"/>
        </w:r>
        <w:r w:rsidR="0072694A">
          <w:rPr>
            <w:noProof/>
            <w:webHidden/>
          </w:rPr>
          <w:t>33</w:t>
        </w:r>
        <w:r w:rsidR="0072694A">
          <w:rPr>
            <w:noProof/>
            <w:webHidden/>
          </w:rPr>
          <w:fldChar w:fldCharType="end"/>
        </w:r>
      </w:hyperlink>
    </w:p>
    <w:p w:rsidR="0072694A" w:rsidRDefault="00181005">
      <w:pPr>
        <w:pStyle w:val="TOC3"/>
        <w:tabs>
          <w:tab w:val="left" w:pos="960"/>
          <w:tab w:val="right" w:leader="dot" w:pos="9350"/>
        </w:tabs>
        <w:rPr>
          <w:rFonts w:asciiTheme="minorHAnsi" w:eastAsiaTheme="minorEastAsia" w:hAnsiTheme="minorHAnsi" w:cstheme="minorBidi"/>
          <w:noProof/>
          <w:sz w:val="22"/>
          <w:szCs w:val="22"/>
        </w:rPr>
      </w:pPr>
      <w:hyperlink w:anchor="_Toc449442007" w:history="1">
        <w:r w:rsidR="0072694A" w:rsidRPr="00925B4F">
          <w:rPr>
            <w:rStyle w:val="Hyperlink"/>
            <w:noProof/>
          </w:rPr>
          <w:t>3.</w:t>
        </w:r>
        <w:r w:rsidR="0072694A">
          <w:rPr>
            <w:rFonts w:asciiTheme="minorHAnsi" w:eastAsiaTheme="minorEastAsia" w:hAnsiTheme="minorHAnsi" w:cstheme="minorBidi"/>
            <w:noProof/>
            <w:sz w:val="22"/>
            <w:szCs w:val="22"/>
          </w:rPr>
          <w:tab/>
        </w:r>
        <w:r w:rsidR="0072694A" w:rsidRPr="00925B4F">
          <w:rPr>
            <w:rStyle w:val="Hyperlink"/>
            <w:noProof/>
          </w:rPr>
          <w:t>BASIC OBSERVATIONS ON SECTION 385</w:t>
        </w:r>
        <w:r w:rsidR="0072694A">
          <w:rPr>
            <w:noProof/>
            <w:webHidden/>
          </w:rPr>
          <w:tab/>
        </w:r>
        <w:r w:rsidR="0072694A">
          <w:rPr>
            <w:noProof/>
            <w:webHidden/>
          </w:rPr>
          <w:fldChar w:fldCharType="begin"/>
        </w:r>
        <w:r w:rsidR="0072694A">
          <w:rPr>
            <w:noProof/>
            <w:webHidden/>
          </w:rPr>
          <w:instrText xml:space="preserve"> PAGEREF _Toc449442007 \h </w:instrText>
        </w:r>
        <w:r w:rsidR="0072694A">
          <w:rPr>
            <w:noProof/>
            <w:webHidden/>
          </w:rPr>
        </w:r>
        <w:r w:rsidR="0072694A">
          <w:rPr>
            <w:noProof/>
            <w:webHidden/>
          </w:rPr>
          <w:fldChar w:fldCharType="separate"/>
        </w:r>
        <w:r w:rsidR="0072694A">
          <w:rPr>
            <w:noProof/>
            <w:webHidden/>
          </w:rPr>
          <w:t>34</w:t>
        </w:r>
        <w:r w:rsidR="0072694A">
          <w:rPr>
            <w:noProof/>
            <w:webHidden/>
          </w:rPr>
          <w:fldChar w:fldCharType="end"/>
        </w:r>
      </w:hyperlink>
    </w:p>
    <w:p w:rsidR="0072694A" w:rsidRDefault="00181005">
      <w:pPr>
        <w:pStyle w:val="TOC3"/>
        <w:tabs>
          <w:tab w:val="left" w:pos="960"/>
          <w:tab w:val="right" w:leader="dot" w:pos="9350"/>
        </w:tabs>
        <w:rPr>
          <w:rFonts w:asciiTheme="minorHAnsi" w:eastAsiaTheme="minorEastAsia" w:hAnsiTheme="minorHAnsi" w:cstheme="minorBidi"/>
          <w:noProof/>
          <w:sz w:val="22"/>
          <w:szCs w:val="22"/>
        </w:rPr>
      </w:pPr>
      <w:hyperlink w:anchor="_Toc449442008" w:history="1">
        <w:r w:rsidR="0072694A" w:rsidRPr="00925B4F">
          <w:rPr>
            <w:rStyle w:val="Hyperlink"/>
            <w:noProof/>
          </w:rPr>
          <w:t>4.</w:t>
        </w:r>
        <w:r w:rsidR="0072694A">
          <w:rPr>
            <w:rFonts w:asciiTheme="minorHAnsi" w:eastAsiaTheme="minorEastAsia" w:hAnsiTheme="minorHAnsi" w:cstheme="minorBidi"/>
            <w:noProof/>
            <w:sz w:val="22"/>
            <w:szCs w:val="22"/>
          </w:rPr>
          <w:tab/>
        </w:r>
        <w:r w:rsidR="0072694A" w:rsidRPr="00925B4F">
          <w:rPr>
            <w:rStyle w:val="Hyperlink"/>
            <w:noProof/>
          </w:rPr>
          <w:t>DOES THE TREASURY HAVE THE AUTHORITY TO ISSUE THE SECTION 385 REGULATIONS?</w:t>
        </w:r>
        <w:r w:rsidR="0072694A">
          <w:rPr>
            <w:noProof/>
            <w:webHidden/>
          </w:rPr>
          <w:tab/>
        </w:r>
        <w:r w:rsidR="0072694A">
          <w:rPr>
            <w:noProof/>
            <w:webHidden/>
          </w:rPr>
          <w:fldChar w:fldCharType="begin"/>
        </w:r>
        <w:r w:rsidR="0072694A">
          <w:rPr>
            <w:noProof/>
            <w:webHidden/>
          </w:rPr>
          <w:instrText xml:space="preserve"> PAGEREF _Toc449442008 \h </w:instrText>
        </w:r>
        <w:r w:rsidR="0072694A">
          <w:rPr>
            <w:noProof/>
            <w:webHidden/>
          </w:rPr>
        </w:r>
        <w:r w:rsidR="0072694A">
          <w:rPr>
            <w:noProof/>
            <w:webHidden/>
          </w:rPr>
          <w:fldChar w:fldCharType="separate"/>
        </w:r>
        <w:r w:rsidR="0072694A">
          <w:rPr>
            <w:noProof/>
            <w:webHidden/>
          </w:rPr>
          <w:t>34</w:t>
        </w:r>
        <w:r w:rsidR="0072694A">
          <w:rPr>
            <w:noProof/>
            <w:webHidden/>
          </w:rPr>
          <w:fldChar w:fldCharType="end"/>
        </w:r>
      </w:hyperlink>
    </w:p>
    <w:p w:rsidR="0072694A" w:rsidRDefault="00181005">
      <w:pPr>
        <w:pStyle w:val="TOC2"/>
        <w:tabs>
          <w:tab w:val="left" w:pos="720"/>
          <w:tab w:val="right" w:leader="dot" w:pos="9350"/>
        </w:tabs>
        <w:rPr>
          <w:rFonts w:asciiTheme="minorHAnsi" w:eastAsiaTheme="minorEastAsia" w:hAnsiTheme="minorHAnsi" w:cstheme="minorBidi"/>
          <w:noProof/>
          <w:sz w:val="22"/>
          <w:szCs w:val="22"/>
        </w:rPr>
      </w:pPr>
      <w:hyperlink w:anchor="_Toc449442009" w:history="1">
        <w:r w:rsidR="0072694A" w:rsidRPr="00925B4F">
          <w:rPr>
            <w:rStyle w:val="Hyperlink"/>
            <w:noProof/>
          </w:rPr>
          <w:t>D.</w:t>
        </w:r>
        <w:r w:rsidR="0072694A">
          <w:rPr>
            <w:rFonts w:asciiTheme="minorHAnsi" w:eastAsiaTheme="minorEastAsia" w:hAnsiTheme="minorHAnsi" w:cstheme="minorBidi"/>
            <w:noProof/>
            <w:sz w:val="22"/>
            <w:szCs w:val="22"/>
          </w:rPr>
          <w:tab/>
        </w:r>
        <w:r w:rsidR="0072694A" w:rsidRPr="00925B4F">
          <w:rPr>
            <w:rStyle w:val="Hyperlink"/>
            <w:noProof/>
          </w:rPr>
          <w:t>INTRODUCTION TO THE 2016 TREATMENT OF CERTAIN INTEREST IN CORPORATIONS AS STOCK OR INDEBTEDNESS REGULATIONS</w:t>
        </w:r>
        <w:r w:rsidR="0072694A">
          <w:rPr>
            <w:noProof/>
            <w:webHidden/>
          </w:rPr>
          <w:tab/>
        </w:r>
        <w:r w:rsidR="0072694A">
          <w:rPr>
            <w:noProof/>
            <w:webHidden/>
          </w:rPr>
          <w:fldChar w:fldCharType="begin"/>
        </w:r>
        <w:r w:rsidR="0072694A">
          <w:rPr>
            <w:noProof/>
            <w:webHidden/>
          </w:rPr>
          <w:instrText xml:space="preserve"> PAGEREF _Toc449442009 \h </w:instrText>
        </w:r>
        <w:r w:rsidR="0072694A">
          <w:rPr>
            <w:noProof/>
            <w:webHidden/>
          </w:rPr>
        </w:r>
        <w:r w:rsidR="0072694A">
          <w:rPr>
            <w:noProof/>
            <w:webHidden/>
          </w:rPr>
          <w:fldChar w:fldCharType="separate"/>
        </w:r>
        <w:r w:rsidR="0072694A">
          <w:rPr>
            <w:noProof/>
            <w:webHidden/>
          </w:rPr>
          <w:t>36</w:t>
        </w:r>
        <w:r w:rsidR="0072694A">
          <w:rPr>
            <w:noProof/>
            <w:webHidden/>
          </w:rPr>
          <w:fldChar w:fldCharType="end"/>
        </w:r>
      </w:hyperlink>
    </w:p>
    <w:p w:rsidR="0072694A" w:rsidRDefault="00181005">
      <w:pPr>
        <w:pStyle w:val="TOC2"/>
        <w:tabs>
          <w:tab w:val="left" w:pos="720"/>
          <w:tab w:val="right" w:leader="dot" w:pos="9350"/>
        </w:tabs>
        <w:rPr>
          <w:rFonts w:asciiTheme="minorHAnsi" w:eastAsiaTheme="minorEastAsia" w:hAnsiTheme="minorHAnsi" w:cstheme="minorBidi"/>
          <w:noProof/>
          <w:sz w:val="22"/>
          <w:szCs w:val="22"/>
        </w:rPr>
      </w:pPr>
      <w:hyperlink w:anchor="_Toc449442010" w:history="1">
        <w:r w:rsidR="0072694A" w:rsidRPr="00925B4F">
          <w:rPr>
            <w:rStyle w:val="Hyperlink"/>
            <w:noProof/>
          </w:rPr>
          <w:t>E.</w:t>
        </w:r>
        <w:r w:rsidR="0072694A">
          <w:rPr>
            <w:rFonts w:asciiTheme="minorHAnsi" w:eastAsiaTheme="minorEastAsia" w:hAnsiTheme="minorHAnsi" w:cstheme="minorBidi"/>
            <w:noProof/>
            <w:sz w:val="22"/>
            <w:szCs w:val="22"/>
          </w:rPr>
          <w:tab/>
        </w:r>
        <w:r w:rsidR="0072694A" w:rsidRPr="00925B4F">
          <w:rPr>
            <w:rStyle w:val="Hyperlink"/>
            <w:noProof/>
          </w:rPr>
          <w:t>OVERVIEW OF THE 2016 SECTION 385 REGS</w:t>
        </w:r>
        <w:r w:rsidR="0072694A">
          <w:rPr>
            <w:noProof/>
            <w:webHidden/>
          </w:rPr>
          <w:tab/>
        </w:r>
        <w:r w:rsidR="0072694A">
          <w:rPr>
            <w:noProof/>
            <w:webHidden/>
          </w:rPr>
          <w:fldChar w:fldCharType="begin"/>
        </w:r>
        <w:r w:rsidR="0072694A">
          <w:rPr>
            <w:noProof/>
            <w:webHidden/>
          </w:rPr>
          <w:instrText xml:space="preserve"> PAGEREF _Toc449442010 \h </w:instrText>
        </w:r>
        <w:r w:rsidR="0072694A">
          <w:rPr>
            <w:noProof/>
            <w:webHidden/>
          </w:rPr>
        </w:r>
        <w:r w:rsidR="0072694A">
          <w:rPr>
            <w:noProof/>
            <w:webHidden/>
          </w:rPr>
          <w:fldChar w:fldCharType="separate"/>
        </w:r>
        <w:r w:rsidR="0072694A">
          <w:rPr>
            <w:noProof/>
            <w:webHidden/>
          </w:rPr>
          <w:t>36</w:t>
        </w:r>
        <w:r w:rsidR="0072694A">
          <w:rPr>
            <w:noProof/>
            <w:webHidden/>
          </w:rPr>
          <w:fldChar w:fldCharType="end"/>
        </w:r>
      </w:hyperlink>
    </w:p>
    <w:p w:rsidR="0072694A" w:rsidRDefault="00181005">
      <w:pPr>
        <w:pStyle w:val="TOC2"/>
        <w:tabs>
          <w:tab w:val="left" w:pos="720"/>
          <w:tab w:val="right" w:leader="dot" w:pos="9350"/>
        </w:tabs>
        <w:rPr>
          <w:rFonts w:asciiTheme="minorHAnsi" w:eastAsiaTheme="minorEastAsia" w:hAnsiTheme="minorHAnsi" w:cstheme="minorBidi"/>
          <w:noProof/>
          <w:sz w:val="22"/>
          <w:szCs w:val="22"/>
        </w:rPr>
      </w:pPr>
      <w:hyperlink w:anchor="_Toc449442011" w:history="1">
        <w:r w:rsidR="0072694A" w:rsidRPr="00925B4F">
          <w:rPr>
            <w:rStyle w:val="Hyperlink"/>
            <w:noProof/>
          </w:rPr>
          <w:t>F.</w:t>
        </w:r>
        <w:r w:rsidR="0072694A">
          <w:rPr>
            <w:rFonts w:asciiTheme="minorHAnsi" w:eastAsiaTheme="minorEastAsia" w:hAnsiTheme="minorHAnsi" w:cstheme="minorBidi"/>
            <w:noProof/>
            <w:sz w:val="22"/>
            <w:szCs w:val="22"/>
          </w:rPr>
          <w:tab/>
        </w:r>
        <w:r w:rsidR="0072694A" w:rsidRPr="00925B4F">
          <w:rPr>
            <w:rStyle w:val="Hyperlink"/>
            <w:noProof/>
          </w:rPr>
          <w:t>THE SUBSTANTIATION OF RELATED-PARTY INDEBTEDNESS REQUIREMENT, PROPOSED REG.  §1.385-2</w:t>
        </w:r>
        <w:r w:rsidR="0072694A">
          <w:rPr>
            <w:noProof/>
            <w:webHidden/>
          </w:rPr>
          <w:tab/>
        </w:r>
        <w:r w:rsidR="0072694A">
          <w:rPr>
            <w:noProof/>
            <w:webHidden/>
          </w:rPr>
          <w:fldChar w:fldCharType="begin"/>
        </w:r>
        <w:r w:rsidR="0072694A">
          <w:rPr>
            <w:noProof/>
            <w:webHidden/>
          </w:rPr>
          <w:instrText xml:space="preserve"> PAGEREF _Toc449442011 \h </w:instrText>
        </w:r>
        <w:r w:rsidR="0072694A">
          <w:rPr>
            <w:noProof/>
            <w:webHidden/>
          </w:rPr>
        </w:r>
        <w:r w:rsidR="0072694A">
          <w:rPr>
            <w:noProof/>
            <w:webHidden/>
          </w:rPr>
          <w:fldChar w:fldCharType="separate"/>
        </w:r>
        <w:r w:rsidR="0072694A">
          <w:rPr>
            <w:noProof/>
            <w:webHidden/>
          </w:rPr>
          <w:t>37</w:t>
        </w:r>
        <w:r w:rsidR="0072694A">
          <w:rPr>
            <w:noProof/>
            <w:webHidden/>
          </w:rPr>
          <w:fldChar w:fldCharType="end"/>
        </w:r>
      </w:hyperlink>
    </w:p>
    <w:p w:rsidR="0072694A" w:rsidRDefault="00181005">
      <w:pPr>
        <w:pStyle w:val="TOC2"/>
        <w:tabs>
          <w:tab w:val="left" w:pos="720"/>
          <w:tab w:val="right" w:leader="dot" w:pos="9350"/>
        </w:tabs>
        <w:rPr>
          <w:rFonts w:asciiTheme="minorHAnsi" w:eastAsiaTheme="minorEastAsia" w:hAnsiTheme="minorHAnsi" w:cstheme="minorBidi"/>
          <w:noProof/>
          <w:sz w:val="22"/>
          <w:szCs w:val="22"/>
        </w:rPr>
      </w:pPr>
      <w:hyperlink w:anchor="_Toc449442012" w:history="1">
        <w:r w:rsidR="0072694A" w:rsidRPr="00925B4F">
          <w:rPr>
            <w:rStyle w:val="Hyperlink"/>
            <w:noProof/>
          </w:rPr>
          <w:t>G.</w:t>
        </w:r>
        <w:r w:rsidR="0072694A">
          <w:rPr>
            <w:rFonts w:asciiTheme="minorHAnsi" w:eastAsiaTheme="minorEastAsia" w:hAnsiTheme="minorHAnsi" w:cstheme="minorBidi"/>
            <w:noProof/>
            <w:sz w:val="22"/>
            <w:szCs w:val="22"/>
          </w:rPr>
          <w:tab/>
        </w:r>
        <w:r w:rsidR="0072694A" w:rsidRPr="00925B4F">
          <w:rPr>
            <w:rStyle w:val="Hyperlink"/>
            <w:noProof/>
          </w:rPr>
          <w:t>CERTAIN DISTRIBUTIONS OF DEBT INSTRUMENTS AND SIMILAR TRANSACTIONS, PROPOSED REG.  §1.385-3</w:t>
        </w:r>
        <w:r w:rsidR="0072694A">
          <w:rPr>
            <w:noProof/>
            <w:webHidden/>
          </w:rPr>
          <w:tab/>
        </w:r>
        <w:r w:rsidR="0072694A">
          <w:rPr>
            <w:noProof/>
            <w:webHidden/>
          </w:rPr>
          <w:fldChar w:fldCharType="begin"/>
        </w:r>
        <w:r w:rsidR="0072694A">
          <w:rPr>
            <w:noProof/>
            <w:webHidden/>
          </w:rPr>
          <w:instrText xml:space="preserve"> PAGEREF _Toc449442012 \h </w:instrText>
        </w:r>
        <w:r w:rsidR="0072694A">
          <w:rPr>
            <w:noProof/>
            <w:webHidden/>
          </w:rPr>
        </w:r>
        <w:r w:rsidR="0072694A">
          <w:rPr>
            <w:noProof/>
            <w:webHidden/>
          </w:rPr>
          <w:fldChar w:fldCharType="separate"/>
        </w:r>
        <w:r w:rsidR="0072694A">
          <w:rPr>
            <w:noProof/>
            <w:webHidden/>
          </w:rPr>
          <w:t>38</w:t>
        </w:r>
        <w:r w:rsidR="0072694A">
          <w:rPr>
            <w:noProof/>
            <w:webHidden/>
          </w:rPr>
          <w:fldChar w:fldCharType="end"/>
        </w:r>
      </w:hyperlink>
    </w:p>
    <w:p w:rsidR="0072694A" w:rsidRDefault="00181005">
      <w:pPr>
        <w:pStyle w:val="TOC3"/>
        <w:tabs>
          <w:tab w:val="left" w:pos="960"/>
          <w:tab w:val="right" w:leader="dot" w:pos="9350"/>
        </w:tabs>
        <w:rPr>
          <w:rFonts w:asciiTheme="minorHAnsi" w:eastAsiaTheme="minorEastAsia" w:hAnsiTheme="minorHAnsi" w:cstheme="minorBidi"/>
          <w:noProof/>
          <w:sz w:val="22"/>
          <w:szCs w:val="22"/>
        </w:rPr>
      </w:pPr>
      <w:hyperlink w:anchor="_Toc449442013" w:history="1">
        <w:r w:rsidR="0072694A" w:rsidRPr="00925B4F">
          <w:rPr>
            <w:rStyle w:val="Hyperlink"/>
            <w:noProof/>
          </w:rPr>
          <w:t>1.</w:t>
        </w:r>
        <w:r w:rsidR="0072694A">
          <w:rPr>
            <w:rFonts w:asciiTheme="minorHAnsi" w:eastAsiaTheme="minorEastAsia" w:hAnsiTheme="minorHAnsi" w:cstheme="minorBidi"/>
            <w:noProof/>
            <w:sz w:val="22"/>
            <w:szCs w:val="22"/>
          </w:rPr>
          <w:tab/>
        </w:r>
        <w:r w:rsidR="0072694A" w:rsidRPr="00925B4F">
          <w:rPr>
            <w:rStyle w:val="Hyperlink"/>
            <w:noProof/>
          </w:rPr>
          <w:t>THE BASIC DEBT-TREATED-AS-STOCK RULES RULES</w:t>
        </w:r>
        <w:r w:rsidR="0072694A">
          <w:rPr>
            <w:noProof/>
            <w:webHidden/>
          </w:rPr>
          <w:tab/>
        </w:r>
        <w:r w:rsidR="0072694A">
          <w:rPr>
            <w:noProof/>
            <w:webHidden/>
          </w:rPr>
          <w:fldChar w:fldCharType="begin"/>
        </w:r>
        <w:r w:rsidR="0072694A">
          <w:rPr>
            <w:noProof/>
            <w:webHidden/>
          </w:rPr>
          <w:instrText xml:space="preserve"> PAGEREF _Toc449442013 \h </w:instrText>
        </w:r>
        <w:r w:rsidR="0072694A">
          <w:rPr>
            <w:noProof/>
            <w:webHidden/>
          </w:rPr>
        </w:r>
        <w:r w:rsidR="0072694A">
          <w:rPr>
            <w:noProof/>
            <w:webHidden/>
          </w:rPr>
          <w:fldChar w:fldCharType="separate"/>
        </w:r>
        <w:r w:rsidR="0072694A">
          <w:rPr>
            <w:noProof/>
            <w:webHidden/>
          </w:rPr>
          <w:t>38</w:t>
        </w:r>
        <w:r w:rsidR="0072694A">
          <w:rPr>
            <w:noProof/>
            <w:webHidden/>
          </w:rPr>
          <w:fldChar w:fldCharType="end"/>
        </w:r>
      </w:hyperlink>
    </w:p>
    <w:p w:rsidR="0072694A" w:rsidRDefault="00181005">
      <w:pPr>
        <w:pStyle w:val="TOC4"/>
        <w:tabs>
          <w:tab w:val="left" w:pos="1320"/>
          <w:tab w:val="right" w:leader="dot" w:pos="9350"/>
        </w:tabs>
        <w:rPr>
          <w:rFonts w:asciiTheme="minorHAnsi" w:eastAsiaTheme="minorEastAsia" w:hAnsiTheme="minorHAnsi" w:cstheme="minorBidi"/>
          <w:noProof/>
          <w:sz w:val="22"/>
          <w:szCs w:val="22"/>
        </w:rPr>
      </w:pPr>
      <w:hyperlink w:anchor="_Toc449442014" w:history="1">
        <w:r w:rsidR="0072694A" w:rsidRPr="00925B4F">
          <w:rPr>
            <w:rStyle w:val="Hyperlink"/>
            <w:b/>
            <w:noProof/>
          </w:rPr>
          <w:t>a.</w:t>
        </w:r>
        <w:r w:rsidR="0072694A">
          <w:rPr>
            <w:rFonts w:asciiTheme="minorHAnsi" w:eastAsiaTheme="minorEastAsia" w:hAnsiTheme="minorHAnsi" w:cstheme="minorBidi"/>
            <w:noProof/>
            <w:sz w:val="22"/>
            <w:szCs w:val="22"/>
          </w:rPr>
          <w:tab/>
        </w:r>
        <w:r w:rsidR="0072694A" w:rsidRPr="00925B4F">
          <w:rPr>
            <w:rStyle w:val="Hyperlink"/>
            <w:noProof/>
          </w:rPr>
          <w:t>INTRODUCTION TO THE THREE PRONGS OF THE BASIC RULES</w:t>
        </w:r>
        <w:r w:rsidR="0072694A">
          <w:rPr>
            <w:noProof/>
            <w:webHidden/>
          </w:rPr>
          <w:tab/>
        </w:r>
        <w:r w:rsidR="0072694A">
          <w:rPr>
            <w:noProof/>
            <w:webHidden/>
          </w:rPr>
          <w:fldChar w:fldCharType="begin"/>
        </w:r>
        <w:r w:rsidR="0072694A">
          <w:rPr>
            <w:noProof/>
            <w:webHidden/>
          </w:rPr>
          <w:instrText xml:space="preserve"> PAGEREF _Toc449442014 \h </w:instrText>
        </w:r>
        <w:r w:rsidR="0072694A">
          <w:rPr>
            <w:noProof/>
            <w:webHidden/>
          </w:rPr>
        </w:r>
        <w:r w:rsidR="0072694A">
          <w:rPr>
            <w:noProof/>
            <w:webHidden/>
          </w:rPr>
          <w:fldChar w:fldCharType="separate"/>
        </w:r>
        <w:r w:rsidR="0072694A">
          <w:rPr>
            <w:noProof/>
            <w:webHidden/>
          </w:rPr>
          <w:t>38</w:t>
        </w:r>
        <w:r w:rsidR="0072694A">
          <w:rPr>
            <w:noProof/>
            <w:webHidden/>
          </w:rPr>
          <w:fldChar w:fldCharType="end"/>
        </w:r>
      </w:hyperlink>
    </w:p>
    <w:p w:rsidR="0072694A" w:rsidRDefault="00181005">
      <w:pPr>
        <w:pStyle w:val="TOC4"/>
        <w:tabs>
          <w:tab w:val="left" w:pos="1320"/>
          <w:tab w:val="right" w:leader="dot" w:pos="9350"/>
        </w:tabs>
        <w:rPr>
          <w:rFonts w:asciiTheme="minorHAnsi" w:eastAsiaTheme="minorEastAsia" w:hAnsiTheme="minorHAnsi" w:cstheme="minorBidi"/>
          <w:noProof/>
          <w:sz w:val="22"/>
          <w:szCs w:val="22"/>
        </w:rPr>
      </w:pPr>
      <w:hyperlink w:anchor="_Toc449442015" w:history="1">
        <w:r w:rsidR="0072694A" w:rsidRPr="00925B4F">
          <w:rPr>
            <w:rStyle w:val="Hyperlink"/>
            <w:b/>
            <w:noProof/>
          </w:rPr>
          <w:t>b.</w:t>
        </w:r>
        <w:r w:rsidR="0072694A">
          <w:rPr>
            <w:rFonts w:asciiTheme="minorHAnsi" w:eastAsiaTheme="minorEastAsia" w:hAnsiTheme="minorHAnsi" w:cstheme="minorBidi"/>
            <w:noProof/>
            <w:sz w:val="22"/>
            <w:szCs w:val="22"/>
          </w:rPr>
          <w:tab/>
        </w:r>
        <w:r w:rsidR="0072694A" w:rsidRPr="00925B4F">
          <w:rPr>
            <w:rStyle w:val="Hyperlink"/>
            <w:noProof/>
          </w:rPr>
          <w:t>THE FIRST PRONG, DISTRIBUTION</w:t>
        </w:r>
        <w:r w:rsidR="0072694A">
          <w:rPr>
            <w:noProof/>
            <w:webHidden/>
          </w:rPr>
          <w:tab/>
        </w:r>
        <w:r w:rsidR="0072694A">
          <w:rPr>
            <w:noProof/>
            <w:webHidden/>
          </w:rPr>
          <w:fldChar w:fldCharType="begin"/>
        </w:r>
        <w:r w:rsidR="0072694A">
          <w:rPr>
            <w:noProof/>
            <w:webHidden/>
          </w:rPr>
          <w:instrText xml:space="preserve"> PAGEREF _Toc449442015 \h </w:instrText>
        </w:r>
        <w:r w:rsidR="0072694A">
          <w:rPr>
            <w:noProof/>
            <w:webHidden/>
          </w:rPr>
        </w:r>
        <w:r w:rsidR="0072694A">
          <w:rPr>
            <w:noProof/>
            <w:webHidden/>
          </w:rPr>
          <w:fldChar w:fldCharType="separate"/>
        </w:r>
        <w:r w:rsidR="0072694A">
          <w:rPr>
            <w:noProof/>
            <w:webHidden/>
          </w:rPr>
          <w:t>39</w:t>
        </w:r>
        <w:r w:rsidR="0072694A">
          <w:rPr>
            <w:noProof/>
            <w:webHidden/>
          </w:rPr>
          <w:fldChar w:fldCharType="end"/>
        </w:r>
      </w:hyperlink>
    </w:p>
    <w:p w:rsidR="0072694A" w:rsidRDefault="00181005">
      <w:pPr>
        <w:pStyle w:val="TOC5"/>
        <w:tabs>
          <w:tab w:val="left" w:pos="1320"/>
          <w:tab w:val="right" w:leader="dot" w:pos="9350"/>
        </w:tabs>
        <w:rPr>
          <w:rFonts w:asciiTheme="minorHAnsi" w:eastAsiaTheme="minorEastAsia" w:hAnsiTheme="minorHAnsi" w:cstheme="minorBidi"/>
          <w:noProof/>
          <w:sz w:val="22"/>
          <w:szCs w:val="22"/>
        </w:rPr>
      </w:pPr>
      <w:hyperlink w:anchor="_Toc449442016" w:history="1">
        <w:r w:rsidR="0072694A" w:rsidRPr="00925B4F">
          <w:rPr>
            <w:rStyle w:val="Hyperlink"/>
            <w:b/>
            <w:noProof/>
          </w:rPr>
          <w:t>i.</w:t>
        </w:r>
        <w:r w:rsidR="0072694A">
          <w:rPr>
            <w:rFonts w:asciiTheme="minorHAnsi" w:eastAsiaTheme="minorEastAsia" w:hAnsiTheme="minorHAnsi" w:cstheme="minorBidi"/>
            <w:noProof/>
            <w:sz w:val="22"/>
            <w:szCs w:val="22"/>
          </w:rPr>
          <w:tab/>
        </w:r>
        <w:r w:rsidR="0072694A" w:rsidRPr="00925B4F">
          <w:rPr>
            <w:rStyle w:val="Hyperlink"/>
            <w:noProof/>
          </w:rPr>
          <w:t>GENERAL PRINCIPLES</w:t>
        </w:r>
        <w:r w:rsidR="0072694A">
          <w:rPr>
            <w:noProof/>
            <w:webHidden/>
          </w:rPr>
          <w:tab/>
        </w:r>
        <w:r w:rsidR="0072694A">
          <w:rPr>
            <w:noProof/>
            <w:webHidden/>
          </w:rPr>
          <w:fldChar w:fldCharType="begin"/>
        </w:r>
        <w:r w:rsidR="0072694A">
          <w:rPr>
            <w:noProof/>
            <w:webHidden/>
          </w:rPr>
          <w:instrText xml:space="preserve"> PAGEREF _Toc449442016 \h </w:instrText>
        </w:r>
        <w:r w:rsidR="0072694A">
          <w:rPr>
            <w:noProof/>
            <w:webHidden/>
          </w:rPr>
        </w:r>
        <w:r w:rsidR="0072694A">
          <w:rPr>
            <w:noProof/>
            <w:webHidden/>
          </w:rPr>
          <w:fldChar w:fldCharType="separate"/>
        </w:r>
        <w:r w:rsidR="0072694A">
          <w:rPr>
            <w:noProof/>
            <w:webHidden/>
          </w:rPr>
          <w:t>39</w:t>
        </w:r>
        <w:r w:rsidR="0072694A">
          <w:rPr>
            <w:noProof/>
            <w:webHidden/>
          </w:rPr>
          <w:fldChar w:fldCharType="end"/>
        </w:r>
      </w:hyperlink>
    </w:p>
    <w:p w:rsidR="0072694A" w:rsidRDefault="00181005">
      <w:pPr>
        <w:pStyle w:val="TOC5"/>
        <w:tabs>
          <w:tab w:val="left" w:pos="1540"/>
          <w:tab w:val="right" w:leader="dot" w:pos="9350"/>
        </w:tabs>
        <w:rPr>
          <w:rFonts w:asciiTheme="minorHAnsi" w:eastAsiaTheme="minorEastAsia" w:hAnsiTheme="minorHAnsi" w:cstheme="minorBidi"/>
          <w:noProof/>
          <w:sz w:val="22"/>
          <w:szCs w:val="22"/>
        </w:rPr>
      </w:pPr>
      <w:hyperlink w:anchor="_Toc449442017" w:history="1">
        <w:r w:rsidR="0072694A" w:rsidRPr="00925B4F">
          <w:rPr>
            <w:rStyle w:val="Hyperlink"/>
            <w:b/>
            <w:noProof/>
          </w:rPr>
          <w:t>ii.</w:t>
        </w:r>
        <w:r w:rsidR="0072694A">
          <w:rPr>
            <w:rFonts w:asciiTheme="minorHAnsi" w:eastAsiaTheme="minorEastAsia" w:hAnsiTheme="minorHAnsi" w:cstheme="minorBidi"/>
            <w:noProof/>
            <w:sz w:val="22"/>
            <w:szCs w:val="22"/>
          </w:rPr>
          <w:tab/>
        </w:r>
        <w:r w:rsidR="0072694A" w:rsidRPr="00925B4F">
          <w:rPr>
            <w:rStyle w:val="Hyperlink"/>
            <w:noProof/>
          </w:rPr>
          <w:t>ILLUSTRATION OF THE FIRST PRONG</w:t>
        </w:r>
        <w:r w:rsidR="0072694A">
          <w:rPr>
            <w:noProof/>
            <w:webHidden/>
          </w:rPr>
          <w:tab/>
        </w:r>
        <w:r w:rsidR="0072694A">
          <w:rPr>
            <w:noProof/>
            <w:webHidden/>
          </w:rPr>
          <w:fldChar w:fldCharType="begin"/>
        </w:r>
        <w:r w:rsidR="0072694A">
          <w:rPr>
            <w:noProof/>
            <w:webHidden/>
          </w:rPr>
          <w:instrText xml:space="preserve"> PAGEREF _Toc449442017 \h </w:instrText>
        </w:r>
        <w:r w:rsidR="0072694A">
          <w:rPr>
            <w:noProof/>
            <w:webHidden/>
          </w:rPr>
        </w:r>
        <w:r w:rsidR="0072694A">
          <w:rPr>
            <w:noProof/>
            <w:webHidden/>
          </w:rPr>
          <w:fldChar w:fldCharType="separate"/>
        </w:r>
        <w:r w:rsidR="0072694A">
          <w:rPr>
            <w:noProof/>
            <w:webHidden/>
          </w:rPr>
          <w:t>39</w:t>
        </w:r>
        <w:r w:rsidR="0072694A">
          <w:rPr>
            <w:noProof/>
            <w:webHidden/>
          </w:rPr>
          <w:fldChar w:fldCharType="end"/>
        </w:r>
      </w:hyperlink>
    </w:p>
    <w:p w:rsidR="0072694A" w:rsidRDefault="00181005">
      <w:pPr>
        <w:pStyle w:val="TOC4"/>
        <w:tabs>
          <w:tab w:val="left" w:pos="1320"/>
          <w:tab w:val="right" w:leader="dot" w:pos="9350"/>
        </w:tabs>
        <w:rPr>
          <w:rFonts w:asciiTheme="minorHAnsi" w:eastAsiaTheme="minorEastAsia" w:hAnsiTheme="minorHAnsi" w:cstheme="minorBidi"/>
          <w:noProof/>
          <w:sz w:val="22"/>
          <w:szCs w:val="22"/>
        </w:rPr>
      </w:pPr>
      <w:hyperlink w:anchor="_Toc449442018" w:history="1">
        <w:r w:rsidR="0072694A" w:rsidRPr="00925B4F">
          <w:rPr>
            <w:rStyle w:val="Hyperlink"/>
            <w:b/>
            <w:noProof/>
          </w:rPr>
          <w:t>c.</w:t>
        </w:r>
        <w:r w:rsidR="0072694A">
          <w:rPr>
            <w:rFonts w:asciiTheme="minorHAnsi" w:eastAsiaTheme="minorEastAsia" w:hAnsiTheme="minorHAnsi" w:cstheme="minorBidi"/>
            <w:noProof/>
            <w:sz w:val="22"/>
            <w:szCs w:val="22"/>
          </w:rPr>
          <w:tab/>
        </w:r>
        <w:r w:rsidR="0072694A" w:rsidRPr="00925B4F">
          <w:rPr>
            <w:rStyle w:val="Hyperlink"/>
            <w:noProof/>
          </w:rPr>
          <w:t>THE SECOND PRONG, EXCHANGE</w:t>
        </w:r>
        <w:r w:rsidR="0072694A">
          <w:rPr>
            <w:noProof/>
            <w:webHidden/>
          </w:rPr>
          <w:tab/>
        </w:r>
        <w:r w:rsidR="0072694A">
          <w:rPr>
            <w:noProof/>
            <w:webHidden/>
          </w:rPr>
          <w:fldChar w:fldCharType="begin"/>
        </w:r>
        <w:r w:rsidR="0072694A">
          <w:rPr>
            <w:noProof/>
            <w:webHidden/>
          </w:rPr>
          <w:instrText xml:space="preserve"> PAGEREF _Toc449442018 \h </w:instrText>
        </w:r>
        <w:r w:rsidR="0072694A">
          <w:rPr>
            <w:noProof/>
            <w:webHidden/>
          </w:rPr>
        </w:r>
        <w:r w:rsidR="0072694A">
          <w:rPr>
            <w:noProof/>
            <w:webHidden/>
          </w:rPr>
          <w:fldChar w:fldCharType="separate"/>
        </w:r>
        <w:r w:rsidR="0072694A">
          <w:rPr>
            <w:noProof/>
            <w:webHidden/>
          </w:rPr>
          <w:t>39</w:t>
        </w:r>
        <w:r w:rsidR="0072694A">
          <w:rPr>
            <w:noProof/>
            <w:webHidden/>
          </w:rPr>
          <w:fldChar w:fldCharType="end"/>
        </w:r>
      </w:hyperlink>
    </w:p>
    <w:p w:rsidR="0072694A" w:rsidRDefault="00181005">
      <w:pPr>
        <w:pStyle w:val="TOC5"/>
        <w:tabs>
          <w:tab w:val="left" w:pos="1320"/>
          <w:tab w:val="right" w:leader="dot" w:pos="9350"/>
        </w:tabs>
        <w:rPr>
          <w:rFonts w:asciiTheme="minorHAnsi" w:eastAsiaTheme="minorEastAsia" w:hAnsiTheme="minorHAnsi" w:cstheme="minorBidi"/>
          <w:noProof/>
          <w:sz w:val="22"/>
          <w:szCs w:val="22"/>
        </w:rPr>
      </w:pPr>
      <w:hyperlink w:anchor="_Toc449442019" w:history="1">
        <w:r w:rsidR="0072694A" w:rsidRPr="00925B4F">
          <w:rPr>
            <w:rStyle w:val="Hyperlink"/>
            <w:b/>
            <w:noProof/>
          </w:rPr>
          <w:t>i.</w:t>
        </w:r>
        <w:r w:rsidR="0072694A">
          <w:rPr>
            <w:rFonts w:asciiTheme="minorHAnsi" w:eastAsiaTheme="minorEastAsia" w:hAnsiTheme="minorHAnsi" w:cstheme="minorBidi"/>
            <w:noProof/>
            <w:sz w:val="22"/>
            <w:szCs w:val="22"/>
          </w:rPr>
          <w:tab/>
        </w:r>
        <w:r w:rsidR="0072694A" w:rsidRPr="00925B4F">
          <w:rPr>
            <w:rStyle w:val="Hyperlink"/>
            <w:noProof/>
          </w:rPr>
          <w:t>GENERAL PRINCIPLES</w:t>
        </w:r>
        <w:r w:rsidR="0072694A">
          <w:rPr>
            <w:noProof/>
            <w:webHidden/>
          </w:rPr>
          <w:tab/>
        </w:r>
        <w:r w:rsidR="0072694A">
          <w:rPr>
            <w:noProof/>
            <w:webHidden/>
          </w:rPr>
          <w:fldChar w:fldCharType="begin"/>
        </w:r>
        <w:r w:rsidR="0072694A">
          <w:rPr>
            <w:noProof/>
            <w:webHidden/>
          </w:rPr>
          <w:instrText xml:space="preserve"> PAGEREF _Toc449442019 \h </w:instrText>
        </w:r>
        <w:r w:rsidR="0072694A">
          <w:rPr>
            <w:noProof/>
            <w:webHidden/>
          </w:rPr>
        </w:r>
        <w:r w:rsidR="0072694A">
          <w:rPr>
            <w:noProof/>
            <w:webHidden/>
          </w:rPr>
          <w:fldChar w:fldCharType="separate"/>
        </w:r>
        <w:r w:rsidR="0072694A">
          <w:rPr>
            <w:noProof/>
            <w:webHidden/>
          </w:rPr>
          <w:t>39</w:t>
        </w:r>
        <w:r w:rsidR="0072694A">
          <w:rPr>
            <w:noProof/>
            <w:webHidden/>
          </w:rPr>
          <w:fldChar w:fldCharType="end"/>
        </w:r>
      </w:hyperlink>
    </w:p>
    <w:p w:rsidR="0072694A" w:rsidRDefault="00181005">
      <w:pPr>
        <w:pStyle w:val="TOC5"/>
        <w:tabs>
          <w:tab w:val="left" w:pos="1320"/>
          <w:tab w:val="right" w:leader="dot" w:pos="9350"/>
        </w:tabs>
        <w:rPr>
          <w:rFonts w:asciiTheme="minorHAnsi" w:eastAsiaTheme="minorEastAsia" w:hAnsiTheme="minorHAnsi" w:cstheme="minorBidi"/>
          <w:noProof/>
          <w:sz w:val="22"/>
          <w:szCs w:val="22"/>
        </w:rPr>
      </w:pPr>
      <w:hyperlink w:anchor="_Toc449442020" w:history="1">
        <w:r w:rsidR="0072694A" w:rsidRPr="00925B4F">
          <w:rPr>
            <w:rStyle w:val="Hyperlink"/>
            <w:b/>
            <w:noProof/>
          </w:rPr>
          <w:t>i.</w:t>
        </w:r>
        <w:r w:rsidR="0072694A">
          <w:rPr>
            <w:rFonts w:asciiTheme="minorHAnsi" w:eastAsiaTheme="minorEastAsia" w:hAnsiTheme="minorHAnsi" w:cstheme="minorBidi"/>
            <w:noProof/>
            <w:sz w:val="22"/>
            <w:szCs w:val="22"/>
          </w:rPr>
          <w:tab/>
        </w:r>
        <w:r w:rsidR="0072694A" w:rsidRPr="00925B4F">
          <w:rPr>
            <w:rStyle w:val="Hyperlink"/>
            <w:noProof/>
          </w:rPr>
          <w:t>ILLUSTRATIONS OF THE SECOND PRONG</w:t>
        </w:r>
        <w:r w:rsidR="0072694A">
          <w:rPr>
            <w:noProof/>
            <w:webHidden/>
          </w:rPr>
          <w:tab/>
        </w:r>
        <w:r w:rsidR="0072694A">
          <w:rPr>
            <w:noProof/>
            <w:webHidden/>
          </w:rPr>
          <w:fldChar w:fldCharType="begin"/>
        </w:r>
        <w:r w:rsidR="0072694A">
          <w:rPr>
            <w:noProof/>
            <w:webHidden/>
          </w:rPr>
          <w:instrText xml:space="preserve"> PAGEREF _Toc449442020 \h </w:instrText>
        </w:r>
        <w:r w:rsidR="0072694A">
          <w:rPr>
            <w:noProof/>
            <w:webHidden/>
          </w:rPr>
        </w:r>
        <w:r w:rsidR="0072694A">
          <w:rPr>
            <w:noProof/>
            <w:webHidden/>
          </w:rPr>
          <w:fldChar w:fldCharType="separate"/>
        </w:r>
        <w:r w:rsidR="0072694A">
          <w:rPr>
            <w:noProof/>
            <w:webHidden/>
          </w:rPr>
          <w:t>40</w:t>
        </w:r>
        <w:r w:rsidR="0072694A">
          <w:rPr>
            <w:noProof/>
            <w:webHidden/>
          </w:rPr>
          <w:fldChar w:fldCharType="end"/>
        </w:r>
      </w:hyperlink>
    </w:p>
    <w:p w:rsidR="0072694A" w:rsidRDefault="00181005">
      <w:pPr>
        <w:pStyle w:val="TOC5"/>
        <w:tabs>
          <w:tab w:val="left" w:pos="1540"/>
          <w:tab w:val="right" w:leader="dot" w:pos="9350"/>
        </w:tabs>
        <w:rPr>
          <w:rFonts w:asciiTheme="minorHAnsi" w:eastAsiaTheme="minorEastAsia" w:hAnsiTheme="minorHAnsi" w:cstheme="minorBidi"/>
          <w:noProof/>
          <w:sz w:val="22"/>
          <w:szCs w:val="22"/>
        </w:rPr>
      </w:pPr>
      <w:hyperlink w:anchor="_Toc449442021" w:history="1">
        <w:r w:rsidR="0072694A" w:rsidRPr="00925B4F">
          <w:rPr>
            <w:rStyle w:val="Hyperlink"/>
            <w:noProof/>
          </w:rPr>
          <w:t>(a)</w:t>
        </w:r>
        <w:r w:rsidR="0072694A">
          <w:rPr>
            <w:rFonts w:asciiTheme="minorHAnsi" w:eastAsiaTheme="minorEastAsia" w:hAnsiTheme="minorHAnsi" w:cstheme="minorBidi"/>
            <w:noProof/>
            <w:sz w:val="22"/>
            <w:szCs w:val="22"/>
          </w:rPr>
          <w:tab/>
        </w:r>
        <w:r w:rsidR="0072694A" w:rsidRPr="00925B4F">
          <w:rPr>
            <w:rStyle w:val="Hyperlink"/>
            <w:noProof/>
          </w:rPr>
          <w:t>EXAMPLE 3</w:t>
        </w:r>
        <w:r w:rsidR="0072694A">
          <w:rPr>
            <w:noProof/>
            <w:webHidden/>
          </w:rPr>
          <w:tab/>
        </w:r>
        <w:r w:rsidR="0072694A">
          <w:rPr>
            <w:noProof/>
            <w:webHidden/>
          </w:rPr>
          <w:fldChar w:fldCharType="begin"/>
        </w:r>
        <w:r w:rsidR="0072694A">
          <w:rPr>
            <w:noProof/>
            <w:webHidden/>
          </w:rPr>
          <w:instrText xml:space="preserve"> PAGEREF _Toc449442021 \h </w:instrText>
        </w:r>
        <w:r w:rsidR="0072694A">
          <w:rPr>
            <w:noProof/>
            <w:webHidden/>
          </w:rPr>
        </w:r>
        <w:r w:rsidR="0072694A">
          <w:rPr>
            <w:noProof/>
            <w:webHidden/>
          </w:rPr>
          <w:fldChar w:fldCharType="separate"/>
        </w:r>
        <w:r w:rsidR="0072694A">
          <w:rPr>
            <w:noProof/>
            <w:webHidden/>
          </w:rPr>
          <w:t>40</w:t>
        </w:r>
        <w:r w:rsidR="0072694A">
          <w:rPr>
            <w:noProof/>
            <w:webHidden/>
          </w:rPr>
          <w:fldChar w:fldCharType="end"/>
        </w:r>
      </w:hyperlink>
    </w:p>
    <w:p w:rsidR="0072694A" w:rsidRDefault="00181005">
      <w:pPr>
        <w:pStyle w:val="TOC5"/>
        <w:tabs>
          <w:tab w:val="left" w:pos="1540"/>
          <w:tab w:val="right" w:leader="dot" w:pos="9350"/>
        </w:tabs>
        <w:rPr>
          <w:rFonts w:asciiTheme="minorHAnsi" w:eastAsiaTheme="minorEastAsia" w:hAnsiTheme="minorHAnsi" w:cstheme="minorBidi"/>
          <w:noProof/>
          <w:sz w:val="22"/>
          <w:szCs w:val="22"/>
        </w:rPr>
      </w:pPr>
      <w:hyperlink w:anchor="_Toc449442022" w:history="1">
        <w:r w:rsidR="0072694A" w:rsidRPr="00925B4F">
          <w:rPr>
            <w:rStyle w:val="Hyperlink"/>
            <w:noProof/>
          </w:rPr>
          <w:t>(b)</w:t>
        </w:r>
        <w:r w:rsidR="0072694A">
          <w:rPr>
            <w:rFonts w:asciiTheme="minorHAnsi" w:eastAsiaTheme="minorEastAsia" w:hAnsiTheme="minorHAnsi" w:cstheme="minorBidi"/>
            <w:noProof/>
            <w:sz w:val="22"/>
            <w:szCs w:val="22"/>
          </w:rPr>
          <w:tab/>
        </w:r>
        <w:r w:rsidR="0072694A" w:rsidRPr="00925B4F">
          <w:rPr>
            <w:rStyle w:val="Hyperlink"/>
            <w:noProof/>
          </w:rPr>
          <w:t>THE ENDO NOTE FOR STOCK INVERSION</w:t>
        </w:r>
        <w:r w:rsidR="0072694A">
          <w:rPr>
            <w:noProof/>
            <w:webHidden/>
          </w:rPr>
          <w:tab/>
        </w:r>
        <w:r w:rsidR="0072694A">
          <w:rPr>
            <w:noProof/>
            <w:webHidden/>
          </w:rPr>
          <w:fldChar w:fldCharType="begin"/>
        </w:r>
        <w:r w:rsidR="0072694A">
          <w:rPr>
            <w:noProof/>
            <w:webHidden/>
          </w:rPr>
          <w:instrText xml:space="preserve"> PAGEREF _Toc449442022 \h </w:instrText>
        </w:r>
        <w:r w:rsidR="0072694A">
          <w:rPr>
            <w:noProof/>
            <w:webHidden/>
          </w:rPr>
        </w:r>
        <w:r w:rsidR="0072694A">
          <w:rPr>
            <w:noProof/>
            <w:webHidden/>
          </w:rPr>
          <w:fldChar w:fldCharType="separate"/>
        </w:r>
        <w:r w:rsidR="0072694A">
          <w:rPr>
            <w:noProof/>
            <w:webHidden/>
          </w:rPr>
          <w:t>40</w:t>
        </w:r>
        <w:r w:rsidR="0072694A">
          <w:rPr>
            <w:noProof/>
            <w:webHidden/>
          </w:rPr>
          <w:fldChar w:fldCharType="end"/>
        </w:r>
      </w:hyperlink>
    </w:p>
    <w:p w:rsidR="0072694A" w:rsidRDefault="00181005">
      <w:pPr>
        <w:pStyle w:val="TOC4"/>
        <w:tabs>
          <w:tab w:val="left" w:pos="1320"/>
          <w:tab w:val="right" w:leader="dot" w:pos="9350"/>
        </w:tabs>
        <w:rPr>
          <w:rFonts w:asciiTheme="minorHAnsi" w:eastAsiaTheme="minorEastAsia" w:hAnsiTheme="minorHAnsi" w:cstheme="minorBidi"/>
          <w:noProof/>
          <w:sz w:val="22"/>
          <w:szCs w:val="22"/>
        </w:rPr>
      </w:pPr>
      <w:hyperlink w:anchor="_Toc449442023" w:history="1">
        <w:r w:rsidR="0072694A" w:rsidRPr="00925B4F">
          <w:rPr>
            <w:rStyle w:val="Hyperlink"/>
            <w:b/>
            <w:noProof/>
          </w:rPr>
          <w:t>d.</w:t>
        </w:r>
        <w:r w:rsidR="0072694A">
          <w:rPr>
            <w:rFonts w:asciiTheme="minorHAnsi" w:eastAsiaTheme="minorEastAsia" w:hAnsiTheme="minorHAnsi" w:cstheme="minorBidi"/>
            <w:noProof/>
            <w:sz w:val="22"/>
            <w:szCs w:val="22"/>
          </w:rPr>
          <w:tab/>
        </w:r>
        <w:r w:rsidR="0072694A" w:rsidRPr="00925B4F">
          <w:rPr>
            <w:rStyle w:val="Hyperlink"/>
            <w:noProof/>
          </w:rPr>
          <w:t>THE THIRD PRONG, INTERNAL REORGANIZATION</w:t>
        </w:r>
        <w:r w:rsidR="0072694A">
          <w:rPr>
            <w:noProof/>
            <w:webHidden/>
          </w:rPr>
          <w:tab/>
        </w:r>
        <w:r w:rsidR="0072694A">
          <w:rPr>
            <w:noProof/>
            <w:webHidden/>
          </w:rPr>
          <w:fldChar w:fldCharType="begin"/>
        </w:r>
        <w:r w:rsidR="0072694A">
          <w:rPr>
            <w:noProof/>
            <w:webHidden/>
          </w:rPr>
          <w:instrText xml:space="preserve"> PAGEREF _Toc449442023 \h </w:instrText>
        </w:r>
        <w:r w:rsidR="0072694A">
          <w:rPr>
            <w:noProof/>
            <w:webHidden/>
          </w:rPr>
        </w:r>
        <w:r w:rsidR="0072694A">
          <w:rPr>
            <w:noProof/>
            <w:webHidden/>
          </w:rPr>
          <w:fldChar w:fldCharType="separate"/>
        </w:r>
        <w:r w:rsidR="0072694A">
          <w:rPr>
            <w:noProof/>
            <w:webHidden/>
          </w:rPr>
          <w:t>42</w:t>
        </w:r>
        <w:r w:rsidR="0072694A">
          <w:rPr>
            <w:noProof/>
            <w:webHidden/>
          </w:rPr>
          <w:fldChar w:fldCharType="end"/>
        </w:r>
      </w:hyperlink>
    </w:p>
    <w:p w:rsidR="0072694A" w:rsidRDefault="00181005">
      <w:pPr>
        <w:pStyle w:val="TOC5"/>
        <w:tabs>
          <w:tab w:val="left" w:pos="1320"/>
          <w:tab w:val="right" w:leader="dot" w:pos="9350"/>
        </w:tabs>
        <w:rPr>
          <w:rFonts w:asciiTheme="minorHAnsi" w:eastAsiaTheme="minorEastAsia" w:hAnsiTheme="minorHAnsi" w:cstheme="minorBidi"/>
          <w:noProof/>
          <w:sz w:val="22"/>
          <w:szCs w:val="22"/>
        </w:rPr>
      </w:pPr>
      <w:hyperlink w:anchor="_Toc449442024" w:history="1">
        <w:r w:rsidR="0072694A" w:rsidRPr="00925B4F">
          <w:rPr>
            <w:rStyle w:val="Hyperlink"/>
            <w:b/>
            <w:noProof/>
          </w:rPr>
          <w:t>i.</w:t>
        </w:r>
        <w:r w:rsidR="0072694A">
          <w:rPr>
            <w:rFonts w:asciiTheme="minorHAnsi" w:eastAsiaTheme="minorEastAsia" w:hAnsiTheme="minorHAnsi" w:cstheme="minorBidi"/>
            <w:noProof/>
            <w:sz w:val="22"/>
            <w:szCs w:val="22"/>
          </w:rPr>
          <w:tab/>
        </w:r>
        <w:r w:rsidR="0072694A" w:rsidRPr="00925B4F">
          <w:rPr>
            <w:rStyle w:val="Hyperlink"/>
            <w:noProof/>
          </w:rPr>
          <w:t>GENERAL PRINCIPLES</w:t>
        </w:r>
        <w:r w:rsidR="0072694A">
          <w:rPr>
            <w:noProof/>
            <w:webHidden/>
          </w:rPr>
          <w:tab/>
        </w:r>
        <w:r w:rsidR="0072694A">
          <w:rPr>
            <w:noProof/>
            <w:webHidden/>
          </w:rPr>
          <w:fldChar w:fldCharType="begin"/>
        </w:r>
        <w:r w:rsidR="0072694A">
          <w:rPr>
            <w:noProof/>
            <w:webHidden/>
          </w:rPr>
          <w:instrText xml:space="preserve"> PAGEREF _Toc449442024 \h </w:instrText>
        </w:r>
        <w:r w:rsidR="0072694A">
          <w:rPr>
            <w:noProof/>
            <w:webHidden/>
          </w:rPr>
        </w:r>
        <w:r w:rsidR="0072694A">
          <w:rPr>
            <w:noProof/>
            <w:webHidden/>
          </w:rPr>
          <w:fldChar w:fldCharType="separate"/>
        </w:r>
        <w:r w:rsidR="0072694A">
          <w:rPr>
            <w:noProof/>
            <w:webHidden/>
          </w:rPr>
          <w:t>42</w:t>
        </w:r>
        <w:r w:rsidR="0072694A">
          <w:rPr>
            <w:noProof/>
            <w:webHidden/>
          </w:rPr>
          <w:fldChar w:fldCharType="end"/>
        </w:r>
      </w:hyperlink>
    </w:p>
    <w:p w:rsidR="0072694A" w:rsidRDefault="00181005">
      <w:pPr>
        <w:pStyle w:val="TOC5"/>
        <w:tabs>
          <w:tab w:val="left" w:pos="1320"/>
          <w:tab w:val="right" w:leader="dot" w:pos="9350"/>
        </w:tabs>
        <w:rPr>
          <w:rFonts w:asciiTheme="minorHAnsi" w:eastAsiaTheme="minorEastAsia" w:hAnsiTheme="minorHAnsi" w:cstheme="minorBidi"/>
          <w:noProof/>
          <w:sz w:val="22"/>
          <w:szCs w:val="22"/>
        </w:rPr>
      </w:pPr>
      <w:hyperlink w:anchor="_Toc449442025" w:history="1">
        <w:r w:rsidR="0072694A" w:rsidRPr="00925B4F">
          <w:rPr>
            <w:rStyle w:val="Hyperlink"/>
            <w:b/>
            <w:noProof/>
          </w:rPr>
          <w:t>i.</w:t>
        </w:r>
        <w:r w:rsidR="0072694A">
          <w:rPr>
            <w:rFonts w:asciiTheme="minorHAnsi" w:eastAsiaTheme="minorEastAsia" w:hAnsiTheme="minorHAnsi" w:cstheme="minorBidi"/>
            <w:noProof/>
            <w:sz w:val="22"/>
            <w:szCs w:val="22"/>
          </w:rPr>
          <w:tab/>
        </w:r>
        <w:r w:rsidR="0072694A" w:rsidRPr="00925B4F">
          <w:rPr>
            <w:rStyle w:val="Hyperlink"/>
            <w:noProof/>
          </w:rPr>
          <w:t>ILLUSTRATION OF THE THIRD PRONG</w:t>
        </w:r>
        <w:r w:rsidR="0072694A">
          <w:rPr>
            <w:noProof/>
            <w:webHidden/>
          </w:rPr>
          <w:tab/>
        </w:r>
        <w:r w:rsidR="0072694A">
          <w:rPr>
            <w:noProof/>
            <w:webHidden/>
          </w:rPr>
          <w:fldChar w:fldCharType="begin"/>
        </w:r>
        <w:r w:rsidR="0072694A">
          <w:rPr>
            <w:noProof/>
            <w:webHidden/>
          </w:rPr>
          <w:instrText xml:space="preserve"> PAGEREF _Toc449442025 \h </w:instrText>
        </w:r>
        <w:r w:rsidR="0072694A">
          <w:rPr>
            <w:noProof/>
            <w:webHidden/>
          </w:rPr>
        </w:r>
        <w:r w:rsidR="0072694A">
          <w:rPr>
            <w:noProof/>
            <w:webHidden/>
          </w:rPr>
          <w:fldChar w:fldCharType="separate"/>
        </w:r>
        <w:r w:rsidR="0072694A">
          <w:rPr>
            <w:noProof/>
            <w:webHidden/>
          </w:rPr>
          <w:t>43</w:t>
        </w:r>
        <w:r w:rsidR="0072694A">
          <w:rPr>
            <w:noProof/>
            <w:webHidden/>
          </w:rPr>
          <w:fldChar w:fldCharType="end"/>
        </w:r>
      </w:hyperlink>
    </w:p>
    <w:p w:rsidR="0072694A" w:rsidRDefault="00181005">
      <w:pPr>
        <w:pStyle w:val="TOC3"/>
        <w:tabs>
          <w:tab w:val="left" w:pos="960"/>
          <w:tab w:val="right" w:leader="dot" w:pos="9350"/>
        </w:tabs>
        <w:rPr>
          <w:rFonts w:asciiTheme="minorHAnsi" w:eastAsiaTheme="minorEastAsia" w:hAnsiTheme="minorHAnsi" w:cstheme="minorBidi"/>
          <w:noProof/>
          <w:sz w:val="22"/>
          <w:szCs w:val="22"/>
        </w:rPr>
      </w:pPr>
      <w:hyperlink w:anchor="_Toc449442026" w:history="1">
        <w:r w:rsidR="0072694A" w:rsidRPr="00925B4F">
          <w:rPr>
            <w:rStyle w:val="Hyperlink"/>
            <w:noProof/>
          </w:rPr>
          <w:t>2.</w:t>
        </w:r>
        <w:r w:rsidR="0072694A">
          <w:rPr>
            <w:rFonts w:asciiTheme="minorHAnsi" w:eastAsiaTheme="minorEastAsia" w:hAnsiTheme="minorHAnsi" w:cstheme="minorBidi"/>
            <w:noProof/>
            <w:sz w:val="22"/>
            <w:szCs w:val="22"/>
          </w:rPr>
          <w:tab/>
        </w:r>
        <w:r w:rsidR="0072694A" w:rsidRPr="00925B4F">
          <w:rPr>
            <w:rStyle w:val="Hyperlink"/>
            <w:noProof/>
          </w:rPr>
          <w:t>TREATED AS COMMON OR PREFERRED STOCK FOR ALL PURPOSES</w:t>
        </w:r>
        <w:r w:rsidR="0072694A">
          <w:rPr>
            <w:noProof/>
            <w:webHidden/>
          </w:rPr>
          <w:tab/>
        </w:r>
        <w:r w:rsidR="0072694A">
          <w:rPr>
            <w:noProof/>
            <w:webHidden/>
          </w:rPr>
          <w:fldChar w:fldCharType="begin"/>
        </w:r>
        <w:r w:rsidR="0072694A">
          <w:rPr>
            <w:noProof/>
            <w:webHidden/>
          </w:rPr>
          <w:instrText xml:space="preserve"> PAGEREF _Toc449442026 \h </w:instrText>
        </w:r>
        <w:r w:rsidR="0072694A">
          <w:rPr>
            <w:noProof/>
            <w:webHidden/>
          </w:rPr>
        </w:r>
        <w:r w:rsidR="0072694A">
          <w:rPr>
            <w:noProof/>
            <w:webHidden/>
          </w:rPr>
          <w:fldChar w:fldCharType="separate"/>
        </w:r>
        <w:r w:rsidR="0072694A">
          <w:rPr>
            <w:noProof/>
            <w:webHidden/>
          </w:rPr>
          <w:t>43</w:t>
        </w:r>
        <w:r w:rsidR="0072694A">
          <w:rPr>
            <w:noProof/>
            <w:webHidden/>
          </w:rPr>
          <w:fldChar w:fldCharType="end"/>
        </w:r>
      </w:hyperlink>
    </w:p>
    <w:p w:rsidR="0072694A" w:rsidRDefault="00181005">
      <w:pPr>
        <w:pStyle w:val="TOC3"/>
        <w:tabs>
          <w:tab w:val="left" w:pos="960"/>
          <w:tab w:val="right" w:leader="dot" w:pos="9350"/>
        </w:tabs>
        <w:rPr>
          <w:rFonts w:asciiTheme="minorHAnsi" w:eastAsiaTheme="minorEastAsia" w:hAnsiTheme="minorHAnsi" w:cstheme="minorBidi"/>
          <w:noProof/>
          <w:sz w:val="22"/>
          <w:szCs w:val="22"/>
        </w:rPr>
      </w:pPr>
      <w:hyperlink w:anchor="_Toc449442027" w:history="1">
        <w:r w:rsidR="0072694A" w:rsidRPr="00925B4F">
          <w:rPr>
            <w:rStyle w:val="Hyperlink"/>
            <w:noProof/>
          </w:rPr>
          <w:t>3.</w:t>
        </w:r>
        <w:r w:rsidR="0072694A">
          <w:rPr>
            <w:rFonts w:asciiTheme="minorHAnsi" w:eastAsiaTheme="minorEastAsia" w:hAnsiTheme="minorHAnsi" w:cstheme="minorBidi"/>
            <w:noProof/>
            <w:sz w:val="22"/>
            <w:szCs w:val="22"/>
          </w:rPr>
          <w:tab/>
        </w:r>
        <w:r w:rsidR="0072694A" w:rsidRPr="00925B4F">
          <w:rPr>
            <w:rStyle w:val="Hyperlink"/>
            <w:noProof/>
          </w:rPr>
          <w:t>THE E&amp;P AND THRESHOLD EXCEPTIONS TO THE BASIC DEBT-TREATED-AS-STOCK RULES RULE</w:t>
        </w:r>
        <w:r w:rsidR="0072694A">
          <w:rPr>
            <w:noProof/>
            <w:webHidden/>
          </w:rPr>
          <w:tab/>
        </w:r>
        <w:r w:rsidR="0072694A">
          <w:rPr>
            <w:noProof/>
            <w:webHidden/>
          </w:rPr>
          <w:fldChar w:fldCharType="begin"/>
        </w:r>
        <w:r w:rsidR="0072694A">
          <w:rPr>
            <w:noProof/>
            <w:webHidden/>
          </w:rPr>
          <w:instrText xml:space="preserve"> PAGEREF _Toc449442027 \h </w:instrText>
        </w:r>
        <w:r w:rsidR="0072694A">
          <w:rPr>
            <w:noProof/>
            <w:webHidden/>
          </w:rPr>
        </w:r>
        <w:r w:rsidR="0072694A">
          <w:rPr>
            <w:noProof/>
            <w:webHidden/>
          </w:rPr>
          <w:fldChar w:fldCharType="separate"/>
        </w:r>
        <w:r w:rsidR="0072694A">
          <w:rPr>
            <w:noProof/>
            <w:webHidden/>
          </w:rPr>
          <w:t>43</w:t>
        </w:r>
        <w:r w:rsidR="0072694A">
          <w:rPr>
            <w:noProof/>
            <w:webHidden/>
          </w:rPr>
          <w:fldChar w:fldCharType="end"/>
        </w:r>
      </w:hyperlink>
    </w:p>
    <w:p w:rsidR="0072694A" w:rsidRDefault="00181005">
      <w:pPr>
        <w:pStyle w:val="TOC4"/>
        <w:tabs>
          <w:tab w:val="left" w:pos="1320"/>
          <w:tab w:val="right" w:leader="dot" w:pos="9350"/>
        </w:tabs>
        <w:rPr>
          <w:rFonts w:asciiTheme="minorHAnsi" w:eastAsiaTheme="minorEastAsia" w:hAnsiTheme="minorHAnsi" w:cstheme="minorBidi"/>
          <w:noProof/>
          <w:sz w:val="22"/>
          <w:szCs w:val="22"/>
        </w:rPr>
      </w:pPr>
      <w:hyperlink w:anchor="_Toc449442028" w:history="1">
        <w:r w:rsidR="0072694A" w:rsidRPr="00925B4F">
          <w:rPr>
            <w:rStyle w:val="Hyperlink"/>
            <w:b/>
            <w:noProof/>
          </w:rPr>
          <w:t>a.</w:t>
        </w:r>
        <w:r w:rsidR="0072694A">
          <w:rPr>
            <w:rFonts w:asciiTheme="minorHAnsi" w:eastAsiaTheme="minorEastAsia" w:hAnsiTheme="minorHAnsi" w:cstheme="minorBidi"/>
            <w:noProof/>
            <w:sz w:val="22"/>
            <w:szCs w:val="22"/>
          </w:rPr>
          <w:tab/>
        </w:r>
        <w:r w:rsidR="0072694A" w:rsidRPr="00925B4F">
          <w:rPr>
            <w:rStyle w:val="Hyperlink"/>
            <w:noProof/>
          </w:rPr>
          <w:t>INTRODUCTION</w:t>
        </w:r>
        <w:r w:rsidR="0072694A">
          <w:rPr>
            <w:noProof/>
            <w:webHidden/>
          </w:rPr>
          <w:tab/>
        </w:r>
        <w:r w:rsidR="0072694A">
          <w:rPr>
            <w:noProof/>
            <w:webHidden/>
          </w:rPr>
          <w:fldChar w:fldCharType="begin"/>
        </w:r>
        <w:r w:rsidR="0072694A">
          <w:rPr>
            <w:noProof/>
            <w:webHidden/>
          </w:rPr>
          <w:instrText xml:space="preserve"> PAGEREF _Toc449442028 \h </w:instrText>
        </w:r>
        <w:r w:rsidR="0072694A">
          <w:rPr>
            <w:noProof/>
            <w:webHidden/>
          </w:rPr>
        </w:r>
        <w:r w:rsidR="0072694A">
          <w:rPr>
            <w:noProof/>
            <w:webHidden/>
          </w:rPr>
          <w:fldChar w:fldCharType="separate"/>
        </w:r>
        <w:r w:rsidR="0072694A">
          <w:rPr>
            <w:noProof/>
            <w:webHidden/>
          </w:rPr>
          <w:t>43</w:t>
        </w:r>
        <w:r w:rsidR="0072694A">
          <w:rPr>
            <w:noProof/>
            <w:webHidden/>
          </w:rPr>
          <w:fldChar w:fldCharType="end"/>
        </w:r>
      </w:hyperlink>
    </w:p>
    <w:p w:rsidR="0072694A" w:rsidRDefault="00181005">
      <w:pPr>
        <w:pStyle w:val="TOC4"/>
        <w:tabs>
          <w:tab w:val="left" w:pos="1320"/>
          <w:tab w:val="right" w:leader="dot" w:pos="9350"/>
        </w:tabs>
        <w:rPr>
          <w:rFonts w:asciiTheme="minorHAnsi" w:eastAsiaTheme="minorEastAsia" w:hAnsiTheme="minorHAnsi" w:cstheme="minorBidi"/>
          <w:noProof/>
          <w:sz w:val="22"/>
          <w:szCs w:val="22"/>
        </w:rPr>
      </w:pPr>
      <w:hyperlink w:anchor="_Toc449442029" w:history="1">
        <w:r w:rsidR="0072694A" w:rsidRPr="00925B4F">
          <w:rPr>
            <w:rStyle w:val="Hyperlink"/>
            <w:b/>
            <w:noProof/>
          </w:rPr>
          <w:t>b.</w:t>
        </w:r>
        <w:r w:rsidR="0072694A">
          <w:rPr>
            <w:rFonts w:asciiTheme="minorHAnsi" w:eastAsiaTheme="minorEastAsia" w:hAnsiTheme="minorHAnsi" w:cstheme="minorBidi"/>
            <w:noProof/>
            <w:sz w:val="22"/>
            <w:szCs w:val="22"/>
          </w:rPr>
          <w:tab/>
        </w:r>
        <w:r w:rsidR="0072694A" w:rsidRPr="00925B4F">
          <w:rPr>
            <w:rStyle w:val="Hyperlink"/>
            <w:noProof/>
          </w:rPr>
          <w:t>THE E&amp;P AND THRESHOLD EXCEPTIONS IN 1.385-3(b)(2)(c)</w:t>
        </w:r>
        <w:r w:rsidR="0072694A">
          <w:rPr>
            <w:noProof/>
            <w:webHidden/>
          </w:rPr>
          <w:tab/>
        </w:r>
        <w:r w:rsidR="0072694A">
          <w:rPr>
            <w:noProof/>
            <w:webHidden/>
          </w:rPr>
          <w:fldChar w:fldCharType="begin"/>
        </w:r>
        <w:r w:rsidR="0072694A">
          <w:rPr>
            <w:noProof/>
            <w:webHidden/>
          </w:rPr>
          <w:instrText xml:space="preserve"> PAGEREF _Toc449442029 \h </w:instrText>
        </w:r>
        <w:r w:rsidR="0072694A">
          <w:rPr>
            <w:noProof/>
            <w:webHidden/>
          </w:rPr>
        </w:r>
        <w:r w:rsidR="0072694A">
          <w:rPr>
            <w:noProof/>
            <w:webHidden/>
          </w:rPr>
          <w:fldChar w:fldCharType="separate"/>
        </w:r>
        <w:r w:rsidR="0072694A">
          <w:rPr>
            <w:noProof/>
            <w:webHidden/>
          </w:rPr>
          <w:t>44</w:t>
        </w:r>
        <w:r w:rsidR="0072694A">
          <w:rPr>
            <w:noProof/>
            <w:webHidden/>
          </w:rPr>
          <w:fldChar w:fldCharType="end"/>
        </w:r>
      </w:hyperlink>
    </w:p>
    <w:p w:rsidR="0072694A" w:rsidRDefault="00181005">
      <w:pPr>
        <w:pStyle w:val="TOC2"/>
        <w:tabs>
          <w:tab w:val="left" w:pos="720"/>
          <w:tab w:val="right" w:leader="dot" w:pos="9350"/>
        </w:tabs>
        <w:rPr>
          <w:rFonts w:asciiTheme="minorHAnsi" w:eastAsiaTheme="minorEastAsia" w:hAnsiTheme="minorHAnsi" w:cstheme="minorBidi"/>
          <w:noProof/>
          <w:sz w:val="22"/>
          <w:szCs w:val="22"/>
        </w:rPr>
      </w:pPr>
      <w:hyperlink w:anchor="_Toc449442030" w:history="1">
        <w:r w:rsidR="0072694A" w:rsidRPr="00925B4F">
          <w:rPr>
            <w:rStyle w:val="Hyperlink"/>
            <w:noProof/>
          </w:rPr>
          <w:t>H.</w:t>
        </w:r>
        <w:r w:rsidR="0072694A">
          <w:rPr>
            <w:rFonts w:asciiTheme="minorHAnsi" w:eastAsiaTheme="minorEastAsia" w:hAnsiTheme="minorHAnsi" w:cstheme="minorBidi"/>
            <w:noProof/>
            <w:sz w:val="22"/>
            <w:szCs w:val="22"/>
          </w:rPr>
          <w:tab/>
        </w:r>
        <w:r w:rsidR="0072694A" w:rsidRPr="00925B4F">
          <w:rPr>
            <w:rStyle w:val="Hyperlink"/>
            <w:noProof/>
          </w:rPr>
          <w:t>THE FUNDING EXCEPTION RULE AND THE EXCEPTION TO THE FUNDING EXCEPTION RULE</w:t>
        </w:r>
        <w:r w:rsidR="0072694A">
          <w:rPr>
            <w:noProof/>
            <w:webHidden/>
          </w:rPr>
          <w:tab/>
        </w:r>
        <w:r w:rsidR="0072694A">
          <w:rPr>
            <w:noProof/>
            <w:webHidden/>
          </w:rPr>
          <w:fldChar w:fldCharType="begin"/>
        </w:r>
        <w:r w:rsidR="0072694A">
          <w:rPr>
            <w:noProof/>
            <w:webHidden/>
          </w:rPr>
          <w:instrText xml:space="preserve"> PAGEREF _Toc449442030 \h </w:instrText>
        </w:r>
        <w:r w:rsidR="0072694A">
          <w:rPr>
            <w:noProof/>
            <w:webHidden/>
          </w:rPr>
        </w:r>
        <w:r w:rsidR="0072694A">
          <w:rPr>
            <w:noProof/>
            <w:webHidden/>
          </w:rPr>
          <w:fldChar w:fldCharType="separate"/>
        </w:r>
        <w:r w:rsidR="0072694A">
          <w:rPr>
            <w:noProof/>
            <w:webHidden/>
          </w:rPr>
          <w:t>44</w:t>
        </w:r>
        <w:r w:rsidR="0072694A">
          <w:rPr>
            <w:noProof/>
            <w:webHidden/>
          </w:rPr>
          <w:fldChar w:fldCharType="end"/>
        </w:r>
      </w:hyperlink>
    </w:p>
    <w:p w:rsidR="0072694A" w:rsidRDefault="00181005">
      <w:pPr>
        <w:pStyle w:val="TOC3"/>
        <w:tabs>
          <w:tab w:val="left" w:pos="960"/>
          <w:tab w:val="right" w:leader="dot" w:pos="9350"/>
        </w:tabs>
        <w:rPr>
          <w:rFonts w:asciiTheme="minorHAnsi" w:eastAsiaTheme="minorEastAsia" w:hAnsiTheme="minorHAnsi" w:cstheme="minorBidi"/>
          <w:noProof/>
          <w:sz w:val="22"/>
          <w:szCs w:val="22"/>
        </w:rPr>
      </w:pPr>
      <w:hyperlink w:anchor="_Toc449442031" w:history="1">
        <w:r w:rsidR="0072694A" w:rsidRPr="00925B4F">
          <w:rPr>
            <w:rStyle w:val="Hyperlink"/>
            <w:noProof/>
          </w:rPr>
          <w:t>1.</w:t>
        </w:r>
        <w:r w:rsidR="0072694A">
          <w:rPr>
            <w:rFonts w:asciiTheme="minorHAnsi" w:eastAsiaTheme="minorEastAsia" w:hAnsiTheme="minorHAnsi" w:cstheme="minorBidi"/>
            <w:noProof/>
            <w:sz w:val="22"/>
            <w:szCs w:val="22"/>
          </w:rPr>
          <w:tab/>
        </w:r>
        <w:r w:rsidR="0072694A" w:rsidRPr="00925B4F">
          <w:rPr>
            <w:rStyle w:val="Hyperlink"/>
            <w:noProof/>
          </w:rPr>
          <w:t>GENERAL EXCEPTION FOR A TRUE FUNDING</w:t>
        </w:r>
        <w:r w:rsidR="0072694A">
          <w:rPr>
            <w:noProof/>
            <w:webHidden/>
          </w:rPr>
          <w:tab/>
        </w:r>
        <w:r w:rsidR="0072694A">
          <w:rPr>
            <w:noProof/>
            <w:webHidden/>
          </w:rPr>
          <w:fldChar w:fldCharType="begin"/>
        </w:r>
        <w:r w:rsidR="0072694A">
          <w:rPr>
            <w:noProof/>
            <w:webHidden/>
          </w:rPr>
          <w:instrText xml:space="preserve"> PAGEREF _Toc449442031 \h </w:instrText>
        </w:r>
        <w:r w:rsidR="0072694A">
          <w:rPr>
            <w:noProof/>
            <w:webHidden/>
          </w:rPr>
        </w:r>
        <w:r w:rsidR="0072694A">
          <w:rPr>
            <w:noProof/>
            <w:webHidden/>
          </w:rPr>
          <w:fldChar w:fldCharType="separate"/>
        </w:r>
        <w:r w:rsidR="0072694A">
          <w:rPr>
            <w:noProof/>
            <w:webHidden/>
          </w:rPr>
          <w:t>44</w:t>
        </w:r>
        <w:r w:rsidR="0072694A">
          <w:rPr>
            <w:noProof/>
            <w:webHidden/>
          </w:rPr>
          <w:fldChar w:fldCharType="end"/>
        </w:r>
      </w:hyperlink>
    </w:p>
    <w:p w:rsidR="0072694A" w:rsidRDefault="00181005">
      <w:pPr>
        <w:pStyle w:val="TOC3"/>
        <w:tabs>
          <w:tab w:val="left" w:pos="960"/>
          <w:tab w:val="right" w:leader="dot" w:pos="9350"/>
        </w:tabs>
        <w:rPr>
          <w:rFonts w:asciiTheme="minorHAnsi" w:eastAsiaTheme="minorEastAsia" w:hAnsiTheme="minorHAnsi" w:cstheme="minorBidi"/>
          <w:noProof/>
          <w:sz w:val="22"/>
          <w:szCs w:val="22"/>
        </w:rPr>
      </w:pPr>
      <w:hyperlink w:anchor="_Toc449442032" w:history="1">
        <w:r w:rsidR="0072694A" w:rsidRPr="00925B4F">
          <w:rPr>
            <w:rStyle w:val="Hyperlink"/>
            <w:noProof/>
          </w:rPr>
          <w:t>2.</w:t>
        </w:r>
        <w:r w:rsidR="0072694A">
          <w:rPr>
            <w:rFonts w:asciiTheme="minorHAnsi" w:eastAsiaTheme="minorEastAsia" w:hAnsiTheme="minorHAnsi" w:cstheme="minorBidi"/>
            <w:noProof/>
            <w:sz w:val="22"/>
            <w:szCs w:val="22"/>
          </w:rPr>
          <w:tab/>
        </w:r>
        <w:r w:rsidR="0072694A" w:rsidRPr="00925B4F">
          <w:rPr>
            <w:rStyle w:val="Hyperlink"/>
            <w:noProof/>
          </w:rPr>
          <w:t>EXCEPTION TO THE FUNDING EXCEPTION RULE</w:t>
        </w:r>
        <w:r w:rsidR="0072694A">
          <w:rPr>
            <w:noProof/>
            <w:webHidden/>
          </w:rPr>
          <w:tab/>
        </w:r>
        <w:r w:rsidR="0072694A">
          <w:rPr>
            <w:noProof/>
            <w:webHidden/>
          </w:rPr>
          <w:fldChar w:fldCharType="begin"/>
        </w:r>
        <w:r w:rsidR="0072694A">
          <w:rPr>
            <w:noProof/>
            <w:webHidden/>
          </w:rPr>
          <w:instrText xml:space="preserve"> PAGEREF _Toc449442032 \h </w:instrText>
        </w:r>
        <w:r w:rsidR="0072694A">
          <w:rPr>
            <w:noProof/>
            <w:webHidden/>
          </w:rPr>
        </w:r>
        <w:r w:rsidR="0072694A">
          <w:rPr>
            <w:noProof/>
            <w:webHidden/>
          </w:rPr>
          <w:fldChar w:fldCharType="separate"/>
        </w:r>
        <w:r w:rsidR="0072694A">
          <w:rPr>
            <w:noProof/>
            <w:webHidden/>
          </w:rPr>
          <w:t>45</w:t>
        </w:r>
        <w:r w:rsidR="0072694A">
          <w:rPr>
            <w:noProof/>
            <w:webHidden/>
          </w:rPr>
          <w:fldChar w:fldCharType="end"/>
        </w:r>
      </w:hyperlink>
    </w:p>
    <w:p w:rsidR="0072694A" w:rsidRDefault="00181005">
      <w:pPr>
        <w:pStyle w:val="TOC2"/>
        <w:tabs>
          <w:tab w:val="left" w:pos="720"/>
          <w:tab w:val="right" w:leader="dot" w:pos="9350"/>
        </w:tabs>
        <w:rPr>
          <w:rFonts w:asciiTheme="minorHAnsi" w:eastAsiaTheme="minorEastAsia" w:hAnsiTheme="minorHAnsi" w:cstheme="minorBidi"/>
          <w:noProof/>
          <w:sz w:val="22"/>
          <w:szCs w:val="22"/>
        </w:rPr>
      </w:pPr>
      <w:hyperlink w:anchor="_Toc449442033" w:history="1">
        <w:r w:rsidR="0072694A" w:rsidRPr="00925B4F">
          <w:rPr>
            <w:rStyle w:val="Hyperlink"/>
            <w:noProof/>
          </w:rPr>
          <w:t>I.</w:t>
        </w:r>
        <w:r w:rsidR="0072694A">
          <w:rPr>
            <w:rFonts w:asciiTheme="minorHAnsi" w:eastAsiaTheme="minorEastAsia" w:hAnsiTheme="minorHAnsi" w:cstheme="minorBidi"/>
            <w:noProof/>
            <w:sz w:val="22"/>
            <w:szCs w:val="22"/>
          </w:rPr>
          <w:tab/>
        </w:r>
        <w:r w:rsidR="0072694A" w:rsidRPr="00925B4F">
          <w:rPr>
            <w:rStyle w:val="Hyperlink"/>
            <w:noProof/>
          </w:rPr>
          <w:t>GENERAL ANTI-ABUSE RULE</w:t>
        </w:r>
        <w:r w:rsidR="0072694A">
          <w:rPr>
            <w:noProof/>
            <w:webHidden/>
          </w:rPr>
          <w:tab/>
        </w:r>
        <w:r w:rsidR="0072694A">
          <w:rPr>
            <w:noProof/>
            <w:webHidden/>
          </w:rPr>
          <w:fldChar w:fldCharType="begin"/>
        </w:r>
        <w:r w:rsidR="0072694A">
          <w:rPr>
            <w:noProof/>
            <w:webHidden/>
          </w:rPr>
          <w:instrText xml:space="preserve"> PAGEREF _Toc449442033 \h </w:instrText>
        </w:r>
        <w:r w:rsidR="0072694A">
          <w:rPr>
            <w:noProof/>
            <w:webHidden/>
          </w:rPr>
        </w:r>
        <w:r w:rsidR="0072694A">
          <w:rPr>
            <w:noProof/>
            <w:webHidden/>
          </w:rPr>
          <w:fldChar w:fldCharType="separate"/>
        </w:r>
        <w:r w:rsidR="0072694A">
          <w:rPr>
            <w:noProof/>
            <w:webHidden/>
          </w:rPr>
          <w:t>46</w:t>
        </w:r>
        <w:r w:rsidR="0072694A">
          <w:rPr>
            <w:noProof/>
            <w:webHidden/>
          </w:rPr>
          <w:fldChar w:fldCharType="end"/>
        </w:r>
      </w:hyperlink>
    </w:p>
    <w:p w:rsidR="0072694A" w:rsidRDefault="00181005">
      <w:pPr>
        <w:pStyle w:val="TOC2"/>
        <w:tabs>
          <w:tab w:val="left" w:pos="720"/>
          <w:tab w:val="right" w:leader="dot" w:pos="9350"/>
        </w:tabs>
        <w:rPr>
          <w:rFonts w:asciiTheme="minorHAnsi" w:eastAsiaTheme="minorEastAsia" w:hAnsiTheme="minorHAnsi" w:cstheme="minorBidi"/>
          <w:noProof/>
          <w:sz w:val="22"/>
          <w:szCs w:val="22"/>
        </w:rPr>
      </w:pPr>
      <w:hyperlink w:anchor="_Toc449442034" w:history="1">
        <w:r w:rsidR="0072694A" w:rsidRPr="00925B4F">
          <w:rPr>
            <w:rStyle w:val="Hyperlink"/>
            <w:noProof/>
          </w:rPr>
          <w:t>J.</w:t>
        </w:r>
        <w:r w:rsidR="0072694A">
          <w:rPr>
            <w:rFonts w:asciiTheme="minorHAnsi" w:eastAsiaTheme="minorEastAsia" w:hAnsiTheme="minorHAnsi" w:cstheme="minorBidi"/>
            <w:noProof/>
            <w:sz w:val="22"/>
            <w:szCs w:val="22"/>
          </w:rPr>
          <w:tab/>
        </w:r>
        <w:r w:rsidR="0072694A" w:rsidRPr="00925B4F">
          <w:rPr>
            <w:rStyle w:val="Hyperlink"/>
            <w:noProof/>
          </w:rPr>
          <w:t>NO AFFIRMATIVE USE</w:t>
        </w:r>
        <w:r w:rsidR="0072694A">
          <w:rPr>
            <w:noProof/>
            <w:webHidden/>
          </w:rPr>
          <w:tab/>
        </w:r>
        <w:r w:rsidR="0072694A">
          <w:rPr>
            <w:noProof/>
            <w:webHidden/>
          </w:rPr>
          <w:fldChar w:fldCharType="begin"/>
        </w:r>
        <w:r w:rsidR="0072694A">
          <w:rPr>
            <w:noProof/>
            <w:webHidden/>
          </w:rPr>
          <w:instrText xml:space="preserve"> PAGEREF _Toc449442034 \h </w:instrText>
        </w:r>
        <w:r w:rsidR="0072694A">
          <w:rPr>
            <w:noProof/>
            <w:webHidden/>
          </w:rPr>
        </w:r>
        <w:r w:rsidR="0072694A">
          <w:rPr>
            <w:noProof/>
            <w:webHidden/>
          </w:rPr>
          <w:fldChar w:fldCharType="separate"/>
        </w:r>
        <w:r w:rsidR="0072694A">
          <w:rPr>
            <w:noProof/>
            <w:webHidden/>
          </w:rPr>
          <w:t>46</w:t>
        </w:r>
        <w:r w:rsidR="0072694A">
          <w:rPr>
            <w:noProof/>
            <w:webHidden/>
          </w:rPr>
          <w:fldChar w:fldCharType="end"/>
        </w:r>
      </w:hyperlink>
    </w:p>
    <w:p w:rsidR="0072694A" w:rsidRDefault="00181005">
      <w:pPr>
        <w:pStyle w:val="TOC2"/>
        <w:tabs>
          <w:tab w:val="left" w:pos="720"/>
          <w:tab w:val="right" w:leader="dot" w:pos="9350"/>
        </w:tabs>
        <w:rPr>
          <w:rFonts w:asciiTheme="minorHAnsi" w:eastAsiaTheme="minorEastAsia" w:hAnsiTheme="minorHAnsi" w:cstheme="minorBidi"/>
          <w:noProof/>
          <w:sz w:val="22"/>
          <w:szCs w:val="22"/>
        </w:rPr>
      </w:pPr>
      <w:hyperlink w:anchor="_Toc449442035" w:history="1">
        <w:r w:rsidR="0072694A" w:rsidRPr="00925B4F">
          <w:rPr>
            <w:rStyle w:val="Hyperlink"/>
            <w:noProof/>
          </w:rPr>
          <w:t>K.</w:t>
        </w:r>
        <w:r w:rsidR="0072694A">
          <w:rPr>
            <w:rFonts w:asciiTheme="minorHAnsi" w:eastAsiaTheme="minorEastAsia" w:hAnsiTheme="minorHAnsi" w:cstheme="minorBidi"/>
            <w:noProof/>
            <w:sz w:val="22"/>
            <w:szCs w:val="22"/>
          </w:rPr>
          <w:tab/>
        </w:r>
        <w:r w:rsidR="0072694A" w:rsidRPr="00925B4F">
          <w:rPr>
            <w:rStyle w:val="Hyperlink"/>
            <w:noProof/>
          </w:rPr>
          <w:t>TREATMENT OF NOTES ISSUED WITHIN A CONSOLIDATED GROUP, PROPOSED REG.  §1.385-4</w:t>
        </w:r>
        <w:r w:rsidR="0072694A">
          <w:rPr>
            <w:noProof/>
            <w:webHidden/>
          </w:rPr>
          <w:tab/>
        </w:r>
        <w:r w:rsidR="0072694A">
          <w:rPr>
            <w:noProof/>
            <w:webHidden/>
          </w:rPr>
          <w:fldChar w:fldCharType="begin"/>
        </w:r>
        <w:r w:rsidR="0072694A">
          <w:rPr>
            <w:noProof/>
            <w:webHidden/>
          </w:rPr>
          <w:instrText xml:space="preserve"> PAGEREF _Toc449442035 \h </w:instrText>
        </w:r>
        <w:r w:rsidR="0072694A">
          <w:rPr>
            <w:noProof/>
            <w:webHidden/>
          </w:rPr>
        </w:r>
        <w:r w:rsidR="0072694A">
          <w:rPr>
            <w:noProof/>
            <w:webHidden/>
          </w:rPr>
          <w:fldChar w:fldCharType="separate"/>
        </w:r>
        <w:r w:rsidR="0072694A">
          <w:rPr>
            <w:noProof/>
            <w:webHidden/>
          </w:rPr>
          <w:t>47</w:t>
        </w:r>
        <w:r w:rsidR="0072694A">
          <w:rPr>
            <w:noProof/>
            <w:webHidden/>
          </w:rPr>
          <w:fldChar w:fldCharType="end"/>
        </w:r>
      </w:hyperlink>
    </w:p>
    <w:p w:rsidR="0072694A" w:rsidRDefault="00181005">
      <w:pPr>
        <w:pStyle w:val="TOC2"/>
        <w:tabs>
          <w:tab w:val="left" w:pos="720"/>
          <w:tab w:val="right" w:leader="dot" w:pos="9350"/>
        </w:tabs>
        <w:rPr>
          <w:rFonts w:asciiTheme="minorHAnsi" w:eastAsiaTheme="minorEastAsia" w:hAnsiTheme="minorHAnsi" w:cstheme="minorBidi"/>
          <w:noProof/>
          <w:sz w:val="22"/>
          <w:szCs w:val="22"/>
        </w:rPr>
      </w:pPr>
      <w:hyperlink w:anchor="_Toc449442036" w:history="1">
        <w:r w:rsidR="0072694A" w:rsidRPr="00925B4F">
          <w:rPr>
            <w:rStyle w:val="Hyperlink"/>
            <w:noProof/>
          </w:rPr>
          <w:t>L.</w:t>
        </w:r>
        <w:r w:rsidR="0072694A">
          <w:rPr>
            <w:rFonts w:asciiTheme="minorHAnsi" w:eastAsiaTheme="minorEastAsia" w:hAnsiTheme="minorHAnsi" w:cstheme="minorBidi"/>
            <w:noProof/>
            <w:sz w:val="22"/>
            <w:szCs w:val="22"/>
          </w:rPr>
          <w:tab/>
        </w:r>
        <w:r w:rsidR="0072694A" w:rsidRPr="00925B4F">
          <w:rPr>
            <w:rStyle w:val="Hyperlink"/>
            <w:noProof/>
          </w:rPr>
          <w:t>MY TAKE ON THE 2016 SECTION 385 REGS</w:t>
        </w:r>
        <w:r w:rsidR="0072694A">
          <w:rPr>
            <w:noProof/>
            <w:webHidden/>
          </w:rPr>
          <w:tab/>
        </w:r>
        <w:r w:rsidR="0072694A">
          <w:rPr>
            <w:noProof/>
            <w:webHidden/>
          </w:rPr>
          <w:fldChar w:fldCharType="begin"/>
        </w:r>
        <w:r w:rsidR="0072694A">
          <w:rPr>
            <w:noProof/>
            <w:webHidden/>
          </w:rPr>
          <w:instrText xml:space="preserve"> PAGEREF _Toc449442036 \h </w:instrText>
        </w:r>
        <w:r w:rsidR="0072694A">
          <w:rPr>
            <w:noProof/>
            <w:webHidden/>
          </w:rPr>
        </w:r>
        <w:r w:rsidR="0072694A">
          <w:rPr>
            <w:noProof/>
            <w:webHidden/>
          </w:rPr>
          <w:fldChar w:fldCharType="separate"/>
        </w:r>
        <w:r w:rsidR="0072694A">
          <w:rPr>
            <w:noProof/>
            <w:webHidden/>
          </w:rPr>
          <w:t>47</w:t>
        </w:r>
        <w:r w:rsidR="0072694A">
          <w:rPr>
            <w:noProof/>
            <w:webHidden/>
          </w:rPr>
          <w:fldChar w:fldCharType="end"/>
        </w:r>
      </w:hyperlink>
    </w:p>
    <w:p w:rsidR="001F3229" w:rsidRDefault="00F0001B">
      <w:r>
        <w:fldChar w:fldCharType="end"/>
      </w:r>
    </w:p>
    <w:p w:rsidR="007B5D62" w:rsidRDefault="007B5D62"/>
    <w:p w:rsidR="007B5D62" w:rsidRDefault="007B5D62"/>
    <w:p w:rsidR="001F3229" w:rsidRDefault="001F3229">
      <w:r>
        <w:br w:type="page"/>
      </w:r>
    </w:p>
    <w:p w:rsidR="001F3229" w:rsidRDefault="001F3229" w:rsidP="004D3062">
      <w:pPr>
        <w:sectPr w:rsidR="001F3229">
          <w:footerReference w:type="default" r:id="rId9"/>
          <w:pgSz w:w="12240" w:h="15840"/>
          <w:pgMar w:top="1440" w:right="1440" w:bottom="1440" w:left="1440" w:header="720" w:footer="720" w:gutter="0"/>
          <w:cols w:space="720"/>
          <w:docGrid w:linePitch="360"/>
        </w:sectPr>
      </w:pPr>
    </w:p>
    <w:p w:rsidR="00392F8B" w:rsidRDefault="00932FF9" w:rsidP="00DB0763">
      <w:pPr>
        <w:pStyle w:val="Heading1"/>
      </w:pPr>
      <w:bookmarkStart w:id="0" w:name="_Toc437510241"/>
      <w:bookmarkStart w:id="1" w:name="_Toc449441977"/>
      <w:bookmarkStart w:id="2" w:name="_Toc427164206"/>
      <w:r w:rsidRPr="00F02F42">
        <w:lastRenderedPageBreak/>
        <w:t>INTRODUCTION TO THE 201</w:t>
      </w:r>
      <w:r>
        <w:t xml:space="preserve">6 TREASURY REGULATIONS: (1) IMPLEMENTING THE 2014 AND 2015 TREASURY NOTICES, AND (2) PROMULGATING REGULATIONS UNDER </w:t>
      </w:r>
      <w:r w:rsidR="000F192E">
        <w:t>SECTION</w:t>
      </w:r>
      <w:r>
        <w:t xml:space="preserve"> 385</w:t>
      </w:r>
      <w:bookmarkEnd w:id="0"/>
      <w:bookmarkEnd w:id="1"/>
    </w:p>
    <w:p w:rsidR="00B210B2" w:rsidRPr="00B210B2" w:rsidRDefault="00B210B2" w:rsidP="00B34C4A">
      <w:pPr>
        <w:pStyle w:val="Heading2"/>
      </w:pPr>
      <w:bookmarkStart w:id="3" w:name="_Toc449441978"/>
      <w:r>
        <w:t>THE REGULATIONS</w:t>
      </w:r>
      <w:bookmarkEnd w:id="3"/>
    </w:p>
    <w:p w:rsidR="003145D5" w:rsidRDefault="00DB0763" w:rsidP="0046383E">
      <w:r>
        <w:t xml:space="preserve">On April 4, 2016, the Treasury issued two sets of regulations addressing inversions.  The regulations implement and expand upon two Notices on inversions issued by the Treasury and IRS in 2014 and 2015.  </w:t>
      </w:r>
      <w:r w:rsidR="0059322C">
        <w:t>I</w:t>
      </w:r>
      <w:r w:rsidR="006733BD">
        <w:t>n September 2014, the Treasury and IRS issued</w:t>
      </w:r>
      <w:r w:rsidR="00140001">
        <w:t xml:space="preserve"> Notice 2014-52 (the 2014 Inversion Notice)</w:t>
      </w:r>
      <w:r w:rsidR="006733BD">
        <w:t xml:space="preserve">, and in </w:t>
      </w:r>
      <w:r w:rsidR="00907330">
        <w:t xml:space="preserve">November </w:t>
      </w:r>
      <w:r w:rsidR="006733BD">
        <w:t>2015, the Treasury and IRS issued</w:t>
      </w:r>
      <w:r w:rsidR="00884B27">
        <w:t xml:space="preserve"> Notice 2015-79</w:t>
      </w:r>
      <w:r w:rsidR="00907330">
        <w:t xml:space="preserve"> </w:t>
      </w:r>
      <w:r w:rsidR="006733BD">
        <w:t>(the 2015 Inversion Notice), which supplement</w:t>
      </w:r>
      <w:r w:rsidR="002F66E4">
        <w:t>ed and m</w:t>
      </w:r>
      <w:r w:rsidR="006733BD">
        <w:t>odifie</w:t>
      </w:r>
      <w:r w:rsidR="002F66E4">
        <w:t xml:space="preserve">d the </w:t>
      </w:r>
      <w:r w:rsidR="006733BD">
        <w:t>2014 Inversion Notice.</w:t>
      </w:r>
      <w:r w:rsidR="00907330">
        <w:t xml:space="preserve">  The 2014 Notice</w:t>
      </w:r>
      <w:r w:rsidR="00DB1E84">
        <w:t xml:space="preserve"> and 2015 Notice are </w:t>
      </w:r>
      <w:r w:rsidR="00907330">
        <w:t>summarized in</w:t>
      </w:r>
      <w:r w:rsidR="00DB1E84">
        <w:t xml:space="preserve"> the following documents which are available on </w:t>
      </w:r>
      <w:r w:rsidR="00181005">
        <w:t xml:space="preserve">request.  </w:t>
      </w:r>
      <w:r w:rsidR="003239F6">
        <w:t xml:space="preserve"> </w:t>
      </w:r>
    </w:p>
    <w:p w:rsidR="003145D5" w:rsidRDefault="003145D5" w:rsidP="0046383E"/>
    <w:p w:rsidR="003145D5" w:rsidRDefault="0046383E" w:rsidP="00DD54AA">
      <w:pPr>
        <w:pStyle w:val="ListParagraph"/>
        <w:numPr>
          <w:ilvl w:val="0"/>
          <w:numId w:val="6"/>
        </w:numPr>
      </w:pPr>
      <w:r>
        <w:t>Samuel C. Thompson, Jr.</w:t>
      </w:r>
      <w:r w:rsidR="00AB69BE">
        <w:t xml:space="preserve">, </w:t>
      </w:r>
      <w:r w:rsidRPr="003145D5">
        <w:rPr>
          <w:i/>
        </w:rPr>
        <w:t>A Guide to the Treasury 2014 Notice on Inversions</w:t>
      </w:r>
      <w:r w:rsidR="00AB69BE">
        <w:t xml:space="preserve"> (Oct 8, 2014), and </w:t>
      </w:r>
    </w:p>
    <w:p w:rsidR="00AB74D4" w:rsidRPr="003239F6" w:rsidRDefault="00AB74D4" w:rsidP="00DD54AA">
      <w:pPr>
        <w:pStyle w:val="ListParagraph"/>
        <w:numPr>
          <w:ilvl w:val="0"/>
          <w:numId w:val="6"/>
        </w:numPr>
      </w:pPr>
      <w:r w:rsidRPr="003239F6">
        <w:t>Samuel C. Thompson, Jr.</w:t>
      </w:r>
      <w:r w:rsidR="00AB69BE">
        <w:t xml:space="preserve">, </w:t>
      </w:r>
      <w:r w:rsidR="00DB1E84" w:rsidRPr="003145D5">
        <w:rPr>
          <w:i/>
        </w:rPr>
        <w:t>A Guide to t</w:t>
      </w:r>
      <w:r w:rsidRPr="003145D5">
        <w:rPr>
          <w:i/>
        </w:rPr>
        <w:t>he I</w:t>
      </w:r>
      <w:r w:rsidR="00DB1E84" w:rsidRPr="003145D5">
        <w:rPr>
          <w:i/>
        </w:rPr>
        <w:t>RS</w:t>
      </w:r>
      <w:r w:rsidRPr="003145D5">
        <w:rPr>
          <w:i/>
        </w:rPr>
        <w:t xml:space="preserve">/Treasury Notice 2015-79 </w:t>
      </w:r>
      <w:r w:rsidR="00DB1E84" w:rsidRPr="003145D5">
        <w:rPr>
          <w:i/>
        </w:rPr>
        <w:t>o</w:t>
      </w:r>
      <w:r w:rsidRPr="003145D5">
        <w:rPr>
          <w:i/>
        </w:rPr>
        <w:t>n Inversions</w:t>
      </w:r>
      <w:r w:rsidR="003239F6">
        <w:t xml:space="preserve"> (Dec. 10, 2015)</w:t>
      </w:r>
      <w:r w:rsidR="009F7F4A">
        <w:t>.</w:t>
      </w:r>
      <w:r w:rsidR="009F7F4A">
        <w:rPr>
          <w:rStyle w:val="FootnoteReference"/>
        </w:rPr>
        <w:footnoteReference w:id="2"/>
      </w:r>
      <w:r w:rsidR="009F7F4A">
        <w:t xml:space="preserve">  </w:t>
      </w:r>
    </w:p>
    <w:p w:rsidR="006733BD" w:rsidRDefault="006733BD" w:rsidP="006733BD">
      <w:r>
        <w:t xml:space="preserve"> </w:t>
      </w:r>
    </w:p>
    <w:p w:rsidR="000E4B51" w:rsidRDefault="006733BD" w:rsidP="006733BD">
      <w:r>
        <w:t>One set of</w:t>
      </w:r>
      <w:r w:rsidR="00DB0763">
        <w:t xml:space="preserve"> the April 4, 2016 </w:t>
      </w:r>
      <w:r>
        <w:t xml:space="preserve">regulations implements the concepts discussed in the 2014 and 2015 </w:t>
      </w:r>
      <w:r w:rsidR="00EC3079">
        <w:t>N</w:t>
      </w:r>
      <w:r>
        <w:t xml:space="preserve">otices, and </w:t>
      </w:r>
      <w:r w:rsidR="00100DB1">
        <w:t xml:space="preserve">the basic principles in </w:t>
      </w:r>
      <w:r>
        <w:t xml:space="preserve">this set of regulations </w:t>
      </w:r>
      <w:r w:rsidR="00100DB1">
        <w:t>are</w:t>
      </w:r>
      <w:r>
        <w:t xml:space="preserve"> discussed in this </w:t>
      </w:r>
      <w:r w:rsidR="000F192E">
        <w:t>Section</w:t>
      </w:r>
      <w:r>
        <w:t xml:space="preserve"> </w:t>
      </w:r>
      <w:r w:rsidR="00DB0763">
        <w:t xml:space="preserve">II.  </w:t>
      </w:r>
      <w:r w:rsidR="000E4B51">
        <w:t xml:space="preserve">This set of </w:t>
      </w:r>
      <w:r w:rsidR="005C26B9">
        <w:t xml:space="preserve">temporary </w:t>
      </w:r>
      <w:r w:rsidR="000E4B51">
        <w:t>regulations is titled “</w:t>
      </w:r>
      <w:r w:rsidR="000E4B51" w:rsidRPr="00FD721F">
        <w:rPr>
          <w:i/>
        </w:rPr>
        <w:t>Inversions and Related Transactions</w:t>
      </w:r>
      <w:r w:rsidR="000E4B51">
        <w:t>”</w:t>
      </w:r>
      <w:r w:rsidR="00982274">
        <w:t xml:space="preserve"> (the 2016</w:t>
      </w:r>
      <w:r w:rsidR="00CE5FB0">
        <w:t xml:space="preserve"> General Inversion </w:t>
      </w:r>
      <w:proofErr w:type="spellStart"/>
      <w:r w:rsidR="00CE5FB0">
        <w:t>Regs</w:t>
      </w:r>
      <w:proofErr w:type="spellEnd"/>
      <w:r w:rsidR="00CE5FB0">
        <w:t>.)</w:t>
      </w:r>
      <w:r w:rsidR="00A53D28">
        <w:t>,</w:t>
      </w:r>
      <w:r w:rsidR="006214E0">
        <w:rPr>
          <w:rStyle w:val="FootnoteReference"/>
        </w:rPr>
        <w:footnoteReference w:id="3"/>
      </w:r>
      <w:r w:rsidR="00A53D28">
        <w:t xml:space="preserve"> and is generally effective as of the date the provision was first announced either in the 2014 or 2015 Notices or on </w:t>
      </w:r>
      <w:r w:rsidR="008972B2">
        <w:t xml:space="preserve">April </w:t>
      </w:r>
      <w:r w:rsidR="009B44BA">
        <w:t>4</w:t>
      </w:r>
      <w:r w:rsidR="00DA2D8A">
        <w:t>, 2016</w:t>
      </w:r>
      <w:r w:rsidR="009B44BA">
        <w:t xml:space="preserve">.  </w:t>
      </w:r>
      <w:r w:rsidR="00DA2D8A">
        <w:t xml:space="preserve">  </w:t>
      </w:r>
      <w:r w:rsidR="00A53D28">
        <w:t xml:space="preserve"> </w:t>
      </w:r>
      <w:r w:rsidR="000E4B51">
        <w:t xml:space="preserve">  </w:t>
      </w:r>
    </w:p>
    <w:p w:rsidR="000E4B51" w:rsidRDefault="000E4B51" w:rsidP="006733BD"/>
    <w:p w:rsidR="00F679D7" w:rsidRDefault="006733BD" w:rsidP="00F679D7">
      <w:r>
        <w:t>The second set of regulations</w:t>
      </w:r>
      <w:r w:rsidR="00FF01B3">
        <w:t xml:space="preserve">, which are in proposed form, </w:t>
      </w:r>
      <w:r>
        <w:t xml:space="preserve">is issued under </w:t>
      </w:r>
      <w:r w:rsidR="000F192E">
        <w:t>Section</w:t>
      </w:r>
      <w:r>
        <w:t xml:space="preserve"> 385, which authorizes the Treasury to issue regulations dealing with debt-equity issues.  Among other things, this set of regulations</w:t>
      </w:r>
      <w:r w:rsidR="001F1B0E">
        <w:t>, which is titled “</w:t>
      </w:r>
      <w:r w:rsidR="001F1B0E" w:rsidRPr="004F5C81">
        <w:rPr>
          <w:i/>
        </w:rPr>
        <w:t>Treatment of Certain Interest in Corporations as Stock or Indebtedness</w:t>
      </w:r>
      <w:r w:rsidR="001F1B0E">
        <w:t>”</w:t>
      </w:r>
      <w:r w:rsidR="00452ED3">
        <w:t xml:space="preserve"> (the 2016 </w:t>
      </w:r>
      <w:r w:rsidR="000F192E">
        <w:t>Section</w:t>
      </w:r>
      <w:r w:rsidR="00452ED3">
        <w:t xml:space="preserve"> 385 </w:t>
      </w:r>
      <w:proofErr w:type="spellStart"/>
      <w:r w:rsidR="00452ED3">
        <w:t>Regs</w:t>
      </w:r>
      <w:proofErr w:type="spellEnd"/>
      <w:r w:rsidR="00452ED3">
        <w:t>)</w:t>
      </w:r>
      <w:r w:rsidR="006E36B5">
        <w:rPr>
          <w:rStyle w:val="FootnoteReference"/>
        </w:rPr>
        <w:footnoteReference w:id="4"/>
      </w:r>
      <w:r>
        <w:t xml:space="preserve"> treats as stock certain debt instruments issued to related parties in transactions, including inversions, </w:t>
      </w:r>
      <w:r w:rsidR="004F5C81">
        <w:t xml:space="preserve">which </w:t>
      </w:r>
      <w:r>
        <w:t xml:space="preserve">can be used for interest stripping.  These </w:t>
      </w:r>
      <w:r w:rsidR="00FF01B3">
        <w:t xml:space="preserve">2016 </w:t>
      </w:r>
      <w:r w:rsidR="000F192E">
        <w:t>Section</w:t>
      </w:r>
      <w:r w:rsidR="00FF01B3">
        <w:t xml:space="preserve"> 385 </w:t>
      </w:r>
      <w:proofErr w:type="spellStart"/>
      <w:r w:rsidR="00FF01B3">
        <w:t>R</w:t>
      </w:r>
      <w:r>
        <w:t>eg</w:t>
      </w:r>
      <w:r w:rsidR="00FF01B3">
        <w:t>s</w:t>
      </w:r>
      <w:proofErr w:type="spellEnd"/>
      <w:r>
        <w:t xml:space="preserve"> are discussed in </w:t>
      </w:r>
      <w:r w:rsidR="000F192E">
        <w:t>Section</w:t>
      </w:r>
      <w:r>
        <w:t xml:space="preserve"> </w:t>
      </w:r>
      <w:r w:rsidR="00DB0763">
        <w:t xml:space="preserve">III.  </w:t>
      </w:r>
      <w:r w:rsidR="00F679D7">
        <w:t xml:space="preserve">  </w:t>
      </w:r>
    </w:p>
    <w:p w:rsidR="00F679D7" w:rsidRDefault="00F679D7" w:rsidP="00F679D7"/>
    <w:p w:rsidR="00F679D7" w:rsidRDefault="00F679D7" w:rsidP="00F679D7">
      <w:r>
        <w:t xml:space="preserve">It must be emphasized that this is merely a basic summary of these very detailed regulations.  The 2016 General Inversion </w:t>
      </w:r>
      <w:proofErr w:type="spellStart"/>
      <w:r>
        <w:t>Regs</w:t>
      </w:r>
      <w:proofErr w:type="spellEnd"/>
      <w:r w:rsidR="00361E90">
        <w:t xml:space="preserve"> were issued in </w:t>
      </w:r>
      <w:r w:rsidR="0095434A">
        <w:t xml:space="preserve">a 204 page </w:t>
      </w:r>
      <w:r w:rsidR="00D47AB0">
        <w:t>“</w:t>
      </w:r>
      <w:r w:rsidR="0095434A">
        <w:t>Final and Temporary Regulations</w:t>
      </w:r>
      <w:r w:rsidR="00D47AB0">
        <w:t>,”</w:t>
      </w:r>
      <w:r w:rsidR="0095434A">
        <w:t xml:space="preserve"> and the 2016 Section 385 </w:t>
      </w:r>
      <w:proofErr w:type="spellStart"/>
      <w:r w:rsidR="0095434A">
        <w:t>Regs</w:t>
      </w:r>
      <w:proofErr w:type="spellEnd"/>
      <w:r w:rsidR="0095434A">
        <w:t xml:space="preserve"> were </w:t>
      </w:r>
      <w:r>
        <w:t xml:space="preserve">issued in a 136 page </w:t>
      </w:r>
      <w:r w:rsidR="00D47AB0">
        <w:t>“</w:t>
      </w:r>
      <w:r>
        <w:t>Notice of Proposed Rulemaking.</w:t>
      </w:r>
      <w:r w:rsidR="00D47AB0">
        <w:t>”</w:t>
      </w:r>
      <w:r w:rsidR="00DB0763">
        <w:t xml:space="preserve">  Consequently, this discussion merely touches on the basic principles with the purpose of alerting the reader to the issues.  </w:t>
      </w:r>
      <w:r>
        <w:t xml:space="preserve">    </w:t>
      </w:r>
    </w:p>
    <w:p w:rsidR="006733BD" w:rsidRDefault="006733BD" w:rsidP="006733BD">
      <w:r>
        <w:t xml:space="preserve">      </w:t>
      </w:r>
    </w:p>
    <w:p w:rsidR="00B210B2" w:rsidRDefault="00B210B2" w:rsidP="006733BD"/>
    <w:p w:rsidR="00B210B2" w:rsidRDefault="00B210B2" w:rsidP="00B34C4A">
      <w:pPr>
        <w:pStyle w:val="Heading2"/>
        <w:rPr>
          <w:rStyle w:val="emphi"/>
        </w:rPr>
      </w:pPr>
      <w:bookmarkStart w:id="4" w:name="_Toc437510244"/>
      <w:bookmarkStart w:id="5" w:name="_Toc449441979"/>
      <w:r>
        <w:rPr>
          <w:rStyle w:val="emphi"/>
        </w:rPr>
        <w:lastRenderedPageBreak/>
        <w:t>SLIDES ILLUSTRATING A PROTOTYPICAL INVERSION</w:t>
      </w:r>
      <w:bookmarkEnd w:id="4"/>
      <w:bookmarkEnd w:id="5"/>
    </w:p>
    <w:p w:rsidR="00B210B2" w:rsidRDefault="00B210B2" w:rsidP="00B210B2">
      <w:r>
        <w:t xml:space="preserve">Slides 1 to 4 illustrate a prototypical inversion transaction, as follows: </w:t>
      </w:r>
    </w:p>
    <w:p w:rsidR="00B210B2" w:rsidRDefault="00B210B2" w:rsidP="00DD54AA">
      <w:pPr>
        <w:pStyle w:val="ListParagraph"/>
        <w:numPr>
          <w:ilvl w:val="0"/>
          <w:numId w:val="3"/>
        </w:numPr>
      </w:pPr>
      <w:r>
        <w:t>Slide # 1, Pre-</w:t>
      </w:r>
      <w:r w:rsidR="00167887">
        <w:t xml:space="preserve">Inversion </w:t>
      </w:r>
      <w:r>
        <w:t>Structure,</w:t>
      </w:r>
    </w:p>
    <w:p w:rsidR="00B210B2" w:rsidRDefault="00B210B2" w:rsidP="00DD54AA">
      <w:pPr>
        <w:pStyle w:val="ListParagraph"/>
        <w:numPr>
          <w:ilvl w:val="0"/>
          <w:numId w:val="3"/>
        </w:numPr>
      </w:pPr>
      <w:r>
        <w:t>Slide # 2, Summary of the Pre-</w:t>
      </w:r>
      <w:r w:rsidR="00167887">
        <w:t xml:space="preserve">Inversion </w:t>
      </w:r>
      <w:r>
        <w:t xml:space="preserve">Structure, </w:t>
      </w:r>
    </w:p>
    <w:p w:rsidR="00B210B2" w:rsidRDefault="00B210B2" w:rsidP="00DD54AA">
      <w:pPr>
        <w:pStyle w:val="ListParagraph"/>
        <w:numPr>
          <w:ilvl w:val="0"/>
          <w:numId w:val="3"/>
        </w:numPr>
      </w:pPr>
      <w:r>
        <w:t xml:space="preserve">Slide # 3, The Inversion Transaction, and </w:t>
      </w:r>
    </w:p>
    <w:p w:rsidR="00B210B2" w:rsidRPr="00D71CB1" w:rsidRDefault="00B210B2" w:rsidP="00DD54AA">
      <w:pPr>
        <w:pStyle w:val="ListParagraph"/>
        <w:numPr>
          <w:ilvl w:val="0"/>
          <w:numId w:val="3"/>
        </w:numPr>
      </w:pPr>
      <w:r>
        <w:t xml:space="preserve">Slide # 4, </w:t>
      </w:r>
      <w:proofErr w:type="gramStart"/>
      <w:r>
        <w:t>The</w:t>
      </w:r>
      <w:proofErr w:type="gramEnd"/>
      <w:r>
        <w:t xml:space="preserve"> Post-Inversion Structure.</w:t>
      </w:r>
    </w:p>
    <w:p w:rsidR="001F5454" w:rsidRDefault="00851418" w:rsidP="001F5454">
      <w:pPr>
        <w:pStyle w:val="Heading2"/>
      </w:pPr>
      <w:bookmarkStart w:id="6" w:name="_Toc449441980"/>
      <w:r>
        <w:t>SECTION 7874</w:t>
      </w:r>
      <w:r w:rsidR="001F5454">
        <w:t xml:space="preserve">: </w:t>
      </w:r>
      <w:r w:rsidR="001F5454" w:rsidRPr="001F5454">
        <w:t>RULES RELATING TO EXPATRIATED ENTITIES AND THEIR FOREIGN PARENTS</w:t>
      </w:r>
      <w:bookmarkEnd w:id="6"/>
    </w:p>
    <w:p w:rsidR="00915D94" w:rsidRDefault="00915D94" w:rsidP="00915D94">
      <w:r>
        <w:t xml:space="preserve">Section 7874 is set out in full here: </w:t>
      </w:r>
    </w:p>
    <w:p w:rsidR="00915D94" w:rsidRPr="00915D94" w:rsidRDefault="00915D94" w:rsidP="00915D94">
      <w:pPr>
        <w:ind w:left="720"/>
      </w:pPr>
    </w:p>
    <w:p w:rsidR="001F5454" w:rsidRDefault="001F5454" w:rsidP="00915D94">
      <w:pPr>
        <w:ind w:left="720"/>
      </w:pPr>
      <w:bookmarkStart w:id="7" w:name="a"/>
      <w:bookmarkEnd w:id="7"/>
      <w:r w:rsidRPr="00D95303">
        <w:rPr>
          <w:rStyle w:val="num"/>
          <w:highlight w:val="yellow"/>
        </w:rPr>
        <w:t>(a)</w:t>
      </w:r>
      <w:r w:rsidRPr="00D95303">
        <w:rPr>
          <w:rStyle w:val="heading"/>
          <w:highlight w:val="yellow"/>
        </w:rPr>
        <w:t xml:space="preserve"> Tax on inversion gain of expatriated entities</w:t>
      </w:r>
      <w:r>
        <w:t xml:space="preserve"> </w:t>
      </w:r>
    </w:p>
    <w:p w:rsidR="00D95303" w:rsidRDefault="00D95303" w:rsidP="00915D94">
      <w:pPr>
        <w:ind w:left="720"/>
      </w:pPr>
    </w:p>
    <w:p w:rsidR="002537DE" w:rsidRDefault="001F5454" w:rsidP="00915D94">
      <w:pPr>
        <w:ind w:left="720"/>
      </w:pPr>
      <w:bookmarkStart w:id="8" w:name="a_1"/>
      <w:bookmarkEnd w:id="8"/>
      <w:r>
        <w:rPr>
          <w:rStyle w:val="num"/>
        </w:rPr>
        <w:t>(1)</w:t>
      </w:r>
      <w:r>
        <w:rPr>
          <w:rStyle w:val="heading"/>
        </w:rPr>
        <w:t xml:space="preserve"> In general</w:t>
      </w:r>
      <w:r>
        <w:t xml:space="preserve"> </w:t>
      </w:r>
    </w:p>
    <w:p w:rsidR="001F5454" w:rsidRDefault="001F5454" w:rsidP="00915D94">
      <w:pPr>
        <w:ind w:left="720"/>
      </w:pPr>
      <w:r>
        <w:t>The taxable income of an expatriated entity for any taxable year which includes any portion of the applicable period shall in no event be less than the inversion gain of the entity for the taxable year.</w:t>
      </w:r>
    </w:p>
    <w:p w:rsidR="00D95303" w:rsidRDefault="00D95303" w:rsidP="00915D94">
      <w:pPr>
        <w:ind w:left="720"/>
      </w:pPr>
    </w:p>
    <w:p w:rsidR="001F5454" w:rsidRDefault="001F5454" w:rsidP="00915D94">
      <w:pPr>
        <w:ind w:left="720"/>
      </w:pPr>
      <w:bookmarkStart w:id="9" w:name="a_2"/>
      <w:bookmarkEnd w:id="9"/>
      <w:r>
        <w:rPr>
          <w:rStyle w:val="num"/>
        </w:rPr>
        <w:t>(2)</w:t>
      </w:r>
      <w:r>
        <w:rPr>
          <w:rStyle w:val="heading"/>
        </w:rPr>
        <w:t xml:space="preserve"> Expatriated entity</w:t>
      </w:r>
      <w:r w:rsidR="000E3551">
        <w:rPr>
          <w:rStyle w:val="heading"/>
        </w:rPr>
        <w:t xml:space="preserve"> </w:t>
      </w:r>
      <w:proofErr w:type="gramStart"/>
      <w:r>
        <w:rPr>
          <w:rStyle w:val="chapeau"/>
        </w:rPr>
        <w:t>For</w:t>
      </w:r>
      <w:proofErr w:type="gramEnd"/>
      <w:r>
        <w:rPr>
          <w:rStyle w:val="chapeau"/>
        </w:rPr>
        <w:t xml:space="preserve"> purposes of this subsection—</w:t>
      </w:r>
      <w:r>
        <w:t xml:space="preserve"> </w:t>
      </w:r>
    </w:p>
    <w:p w:rsidR="00C5001E" w:rsidRDefault="00C5001E" w:rsidP="00915D94">
      <w:pPr>
        <w:ind w:left="720"/>
      </w:pPr>
    </w:p>
    <w:p w:rsidR="001F5454" w:rsidRDefault="001F5454" w:rsidP="00915D94">
      <w:pPr>
        <w:ind w:left="720"/>
      </w:pPr>
      <w:bookmarkStart w:id="10" w:name="a_2_A"/>
      <w:bookmarkEnd w:id="10"/>
      <w:r>
        <w:rPr>
          <w:rStyle w:val="num"/>
        </w:rPr>
        <w:t>(A)</w:t>
      </w:r>
      <w:r>
        <w:rPr>
          <w:rStyle w:val="heading"/>
        </w:rPr>
        <w:t xml:space="preserve"> In general</w:t>
      </w:r>
      <w:r w:rsidR="000E3551">
        <w:rPr>
          <w:rStyle w:val="heading"/>
        </w:rPr>
        <w:t xml:space="preserve"> </w:t>
      </w:r>
      <w:proofErr w:type="gramStart"/>
      <w:r>
        <w:rPr>
          <w:rStyle w:val="chapeau"/>
        </w:rPr>
        <w:t>The</w:t>
      </w:r>
      <w:proofErr w:type="gramEnd"/>
      <w:r>
        <w:rPr>
          <w:rStyle w:val="chapeau"/>
        </w:rPr>
        <w:t xml:space="preserve"> term “expatriated entity” means—</w:t>
      </w:r>
      <w:r>
        <w:t xml:space="preserve"> </w:t>
      </w:r>
    </w:p>
    <w:p w:rsidR="005044D4" w:rsidRDefault="005044D4" w:rsidP="00915D94">
      <w:pPr>
        <w:ind w:left="1440"/>
        <w:rPr>
          <w:rStyle w:val="num"/>
        </w:rPr>
      </w:pPr>
      <w:bookmarkStart w:id="11" w:name="a_2_A_i"/>
      <w:bookmarkEnd w:id="11"/>
    </w:p>
    <w:p w:rsidR="001F5454" w:rsidRDefault="001F5454" w:rsidP="00915D94">
      <w:pPr>
        <w:ind w:left="1440"/>
      </w:pPr>
      <w:r>
        <w:rPr>
          <w:rStyle w:val="num"/>
        </w:rPr>
        <w:t>(</w:t>
      </w:r>
      <w:proofErr w:type="spellStart"/>
      <w:r>
        <w:rPr>
          <w:rStyle w:val="num"/>
        </w:rPr>
        <w:t>i</w:t>
      </w:r>
      <w:proofErr w:type="spellEnd"/>
      <w:r>
        <w:rPr>
          <w:rStyle w:val="num"/>
        </w:rPr>
        <w:t>)</w:t>
      </w:r>
      <w:r>
        <w:t xml:space="preserve"> the domestic corporation or partnership referred to in subparagraph (B)(</w:t>
      </w:r>
      <w:proofErr w:type="spellStart"/>
      <w:r>
        <w:t>i</w:t>
      </w:r>
      <w:proofErr w:type="spellEnd"/>
      <w:r>
        <w:t>) with respect to which a foreign corporation is a surrogate foreign corporation, and</w:t>
      </w:r>
    </w:p>
    <w:p w:rsidR="001F5454" w:rsidRDefault="001F5454" w:rsidP="00915D94">
      <w:pPr>
        <w:ind w:left="1440"/>
      </w:pPr>
      <w:bookmarkStart w:id="12" w:name="a_2_A_ii"/>
      <w:bookmarkEnd w:id="12"/>
      <w:r>
        <w:rPr>
          <w:rStyle w:val="num"/>
        </w:rPr>
        <w:t>(ii)</w:t>
      </w:r>
      <w:r w:rsidR="000E3551">
        <w:rPr>
          <w:rStyle w:val="num"/>
        </w:rPr>
        <w:t xml:space="preserve"> </w:t>
      </w:r>
      <w:proofErr w:type="gramStart"/>
      <w:r>
        <w:t>any</w:t>
      </w:r>
      <w:proofErr w:type="gramEnd"/>
      <w:r>
        <w:t xml:space="preserve"> United States person who is related (within the meaning of section 267(b) or 707(b)(1)) to a domestic corporation or partnership described in clause (</w:t>
      </w:r>
      <w:proofErr w:type="spellStart"/>
      <w:r>
        <w:t>i</w:t>
      </w:r>
      <w:proofErr w:type="spellEnd"/>
      <w:r>
        <w:t>).</w:t>
      </w:r>
    </w:p>
    <w:p w:rsidR="001F5454" w:rsidRDefault="001F5454" w:rsidP="00915D94">
      <w:pPr>
        <w:ind w:left="720"/>
      </w:pPr>
      <w:bookmarkStart w:id="13" w:name="a_2_B"/>
      <w:bookmarkEnd w:id="13"/>
      <w:r>
        <w:rPr>
          <w:rStyle w:val="num"/>
        </w:rPr>
        <w:t>(B)</w:t>
      </w:r>
      <w:r>
        <w:rPr>
          <w:rStyle w:val="heading"/>
        </w:rPr>
        <w:t xml:space="preserve"> Surrogate foreign corporation</w:t>
      </w:r>
      <w:r w:rsidR="00EB79AA">
        <w:rPr>
          <w:rStyle w:val="heading"/>
        </w:rPr>
        <w:t xml:space="preserve"> </w:t>
      </w:r>
      <w:r>
        <w:rPr>
          <w:rStyle w:val="chapeau"/>
        </w:rPr>
        <w:t xml:space="preserve">A </w:t>
      </w:r>
      <w:r w:rsidRPr="001C33E2">
        <w:rPr>
          <w:rStyle w:val="chapeau"/>
          <w:b/>
        </w:rPr>
        <w:t>foreign corporation</w:t>
      </w:r>
      <w:r>
        <w:rPr>
          <w:rStyle w:val="chapeau"/>
        </w:rPr>
        <w:t xml:space="preserve"> shall be treated as a </w:t>
      </w:r>
      <w:r w:rsidRPr="000E1D7F">
        <w:rPr>
          <w:rStyle w:val="chapeau"/>
          <w:b/>
        </w:rPr>
        <w:t>surrogate foreign corporation</w:t>
      </w:r>
      <w:r>
        <w:rPr>
          <w:rStyle w:val="chapeau"/>
        </w:rPr>
        <w:t xml:space="preserve"> if, pursuant to a plan (or a series of related transactions)—</w:t>
      </w:r>
      <w:r>
        <w:t xml:space="preserve"> </w:t>
      </w:r>
    </w:p>
    <w:p w:rsidR="005044D4" w:rsidRDefault="005044D4" w:rsidP="00915D94">
      <w:pPr>
        <w:ind w:left="1440"/>
        <w:rPr>
          <w:rStyle w:val="num"/>
        </w:rPr>
      </w:pPr>
      <w:bookmarkStart w:id="14" w:name="a_2_B_i"/>
      <w:bookmarkEnd w:id="14"/>
    </w:p>
    <w:p w:rsidR="001F5454" w:rsidRDefault="001F5454" w:rsidP="00915D94">
      <w:pPr>
        <w:ind w:left="1440"/>
      </w:pPr>
      <w:r>
        <w:rPr>
          <w:rStyle w:val="num"/>
        </w:rPr>
        <w:t>(</w:t>
      </w:r>
      <w:proofErr w:type="spellStart"/>
      <w:r>
        <w:rPr>
          <w:rStyle w:val="num"/>
        </w:rPr>
        <w:t>i</w:t>
      </w:r>
      <w:proofErr w:type="spellEnd"/>
      <w:r>
        <w:rPr>
          <w:rStyle w:val="num"/>
        </w:rPr>
        <w:t>)</w:t>
      </w:r>
      <w:r w:rsidR="000E3551">
        <w:rPr>
          <w:rStyle w:val="num"/>
        </w:rPr>
        <w:t xml:space="preserve"> </w:t>
      </w:r>
      <w:r>
        <w:t>the entity</w:t>
      </w:r>
      <w:r w:rsidR="001C33E2">
        <w:t xml:space="preserve"> </w:t>
      </w:r>
      <w:r w:rsidR="001C33E2" w:rsidRPr="001C33E2">
        <w:rPr>
          <w:b/>
        </w:rPr>
        <w:t>[the foreign corporation]</w:t>
      </w:r>
      <w:r>
        <w:t xml:space="preserve"> completes after </w:t>
      </w:r>
      <w:r>
        <w:rPr>
          <w:rStyle w:val="Date1"/>
        </w:rPr>
        <w:t>March 4, 2003</w:t>
      </w:r>
      <w:r>
        <w:t xml:space="preserve">, the direct or indirect acquisition of substantially all of the properties held directly or indirectly by a </w:t>
      </w:r>
      <w:r w:rsidRPr="000E1D7F">
        <w:rPr>
          <w:b/>
        </w:rPr>
        <w:t>domestic corporation</w:t>
      </w:r>
      <w:r>
        <w:t xml:space="preserve"> or substantially all of the properties constituting a trade or business of a domestic partnership,</w:t>
      </w:r>
    </w:p>
    <w:p w:rsidR="001F5454" w:rsidRPr="000E1D7F" w:rsidRDefault="001F5454" w:rsidP="00915D94">
      <w:pPr>
        <w:ind w:left="1440"/>
        <w:rPr>
          <w:b/>
        </w:rPr>
      </w:pPr>
      <w:bookmarkStart w:id="15" w:name="a_2_B_ii"/>
      <w:bookmarkEnd w:id="15"/>
      <w:r>
        <w:rPr>
          <w:rStyle w:val="num"/>
        </w:rPr>
        <w:t>(ii)</w:t>
      </w:r>
      <w:r>
        <w:rPr>
          <w:rStyle w:val="chapeau"/>
        </w:rPr>
        <w:t xml:space="preserve"> </w:t>
      </w:r>
      <w:r w:rsidR="0017645C" w:rsidRPr="0017645C">
        <w:rPr>
          <w:rStyle w:val="chapeau"/>
          <w:b/>
          <w:highlight w:val="yellow"/>
        </w:rPr>
        <w:t>[</w:t>
      </w:r>
      <w:proofErr w:type="gramStart"/>
      <w:r w:rsidR="0017645C" w:rsidRPr="0017645C">
        <w:rPr>
          <w:rStyle w:val="chapeau"/>
          <w:b/>
          <w:highlight w:val="yellow"/>
        </w:rPr>
        <w:t>the</w:t>
      </w:r>
      <w:proofErr w:type="gramEnd"/>
      <w:r w:rsidR="0017645C" w:rsidRPr="0017645C">
        <w:rPr>
          <w:rStyle w:val="chapeau"/>
          <w:b/>
          <w:highlight w:val="yellow"/>
        </w:rPr>
        <w:t xml:space="preserve"> Ownership Percentage]</w:t>
      </w:r>
      <w:r w:rsidR="0017645C">
        <w:rPr>
          <w:rStyle w:val="chapeau"/>
          <w:b/>
        </w:rPr>
        <w:t xml:space="preserve"> </w:t>
      </w:r>
      <w:r>
        <w:rPr>
          <w:rStyle w:val="chapeau"/>
        </w:rPr>
        <w:t xml:space="preserve">after the acquisition </w:t>
      </w:r>
      <w:r w:rsidRPr="000E1D7F">
        <w:rPr>
          <w:rStyle w:val="chapeau"/>
          <w:b/>
        </w:rPr>
        <w:t>at least 60 percent of the stock (by vote or value) of the entity</w:t>
      </w:r>
      <w:r w:rsidR="001C33E2">
        <w:rPr>
          <w:rStyle w:val="chapeau"/>
          <w:b/>
        </w:rPr>
        <w:t xml:space="preserve"> </w:t>
      </w:r>
      <w:r w:rsidR="001C33E2" w:rsidRPr="00A651FD">
        <w:rPr>
          <w:b/>
          <w:highlight w:val="yellow"/>
        </w:rPr>
        <w:t>[the foreign corporation]</w:t>
      </w:r>
      <w:r w:rsidR="001C33E2" w:rsidRPr="00A651FD">
        <w:rPr>
          <w:highlight w:val="yellow"/>
        </w:rPr>
        <w:t xml:space="preserve"> </w:t>
      </w:r>
      <w:r w:rsidR="00776C4B" w:rsidRPr="00A651FD">
        <w:rPr>
          <w:b/>
          <w:highlight w:val="yellow"/>
        </w:rPr>
        <w:t>[note that this stock of the foreign corporation is the denominator in the Ownership Fraction]</w:t>
      </w:r>
      <w:r w:rsidR="00776C4B">
        <w:t xml:space="preserve"> </w:t>
      </w:r>
      <w:r w:rsidRPr="000E1D7F">
        <w:rPr>
          <w:rStyle w:val="chapeau"/>
          <w:b/>
        </w:rPr>
        <w:t>is held—</w:t>
      </w:r>
      <w:r w:rsidRPr="000E1D7F">
        <w:rPr>
          <w:b/>
        </w:rPr>
        <w:t xml:space="preserve"> </w:t>
      </w:r>
    </w:p>
    <w:p w:rsidR="001F5454" w:rsidRDefault="001F5454" w:rsidP="00915D94">
      <w:pPr>
        <w:ind w:left="2160"/>
      </w:pPr>
      <w:bookmarkStart w:id="16" w:name="a_2_B_ii_I"/>
      <w:bookmarkEnd w:id="16"/>
      <w:r>
        <w:rPr>
          <w:rStyle w:val="num"/>
        </w:rPr>
        <w:t>(I)</w:t>
      </w:r>
      <w:r w:rsidR="000E3551">
        <w:rPr>
          <w:rStyle w:val="num"/>
        </w:rPr>
        <w:t xml:space="preserve"> </w:t>
      </w:r>
      <w:r>
        <w:t xml:space="preserve">in the case of an acquisition with respect to a domestic corporation, by former shareholders of the domestic corporation </w:t>
      </w:r>
      <w:r w:rsidRPr="00EB79AA">
        <w:rPr>
          <w:b/>
        </w:rPr>
        <w:t>by reason of</w:t>
      </w:r>
      <w:r>
        <w:t xml:space="preserve"> holding stock in the domestic corporation</w:t>
      </w:r>
      <w:r w:rsidR="00C64338">
        <w:t xml:space="preserve"> </w:t>
      </w:r>
      <w:r w:rsidR="00C64338" w:rsidRPr="00A651FD">
        <w:rPr>
          <w:b/>
          <w:highlight w:val="yellow"/>
        </w:rPr>
        <w:t xml:space="preserve">[note that this “by reason of” stock of the foreign corporation is the </w:t>
      </w:r>
      <w:r w:rsidR="0081739E" w:rsidRPr="00A651FD">
        <w:rPr>
          <w:b/>
          <w:highlight w:val="yellow"/>
        </w:rPr>
        <w:t xml:space="preserve">numerator </w:t>
      </w:r>
      <w:r w:rsidR="00C64338" w:rsidRPr="00A651FD">
        <w:rPr>
          <w:b/>
          <w:highlight w:val="yellow"/>
        </w:rPr>
        <w:t>in the Ownership Fraction]</w:t>
      </w:r>
      <w:r>
        <w:t>, or</w:t>
      </w:r>
    </w:p>
    <w:p w:rsidR="001F5454" w:rsidRDefault="001F5454" w:rsidP="00915D94">
      <w:pPr>
        <w:ind w:left="2160"/>
      </w:pPr>
      <w:bookmarkStart w:id="17" w:name="a_2_B_ii_II"/>
      <w:bookmarkEnd w:id="17"/>
      <w:r>
        <w:rPr>
          <w:rStyle w:val="num"/>
        </w:rPr>
        <w:t>(II)</w:t>
      </w:r>
      <w:r w:rsidR="00FD67CC">
        <w:rPr>
          <w:rStyle w:val="num"/>
        </w:rPr>
        <w:t xml:space="preserve"> </w:t>
      </w:r>
      <w:r>
        <w:t>in the case of an acquisition with respect to a domestic partnership, by former partners of the domestic partnership by reason of holding a capital or profits interest in the domestic partnership, and</w:t>
      </w:r>
    </w:p>
    <w:p w:rsidR="001F5454" w:rsidRDefault="001F5454" w:rsidP="00915D94">
      <w:pPr>
        <w:ind w:left="1440"/>
      </w:pPr>
      <w:bookmarkStart w:id="18" w:name="a_2_B_iii"/>
      <w:bookmarkEnd w:id="18"/>
      <w:r>
        <w:rPr>
          <w:rStyle w:val="num"/>
        </w:rPr>
        <w:lastRenderedPageBreak/>
        <w:t>(iii)</w:t>
      </w:r>
      <w:r>
        <w:t xml:space="preserve"> after the acquisition the expanded affiliated group which includes the entity does not have substantial business activities in the foreign country in which, or under the law of which, the entity is created or organized, when compared to the total business activities of such expanded affiliated group.</w:t>
      </w:r>
    </w:p>
    <w:p w:rsidR="00D95303" w:rsidRDefault="00D95303" w:rsidP="00915D94">
      <w:pPr>
        <w:ind w:left="720"/>
      </w:pPr>
    </w:p>
    <w:p w:rsidR="001F5454" w:rsidRDefault="001F5454" w:rsidP="00915D94">
      <w:pPr>
        <w:ind w:left="720"/>
      </w:pPr>
      <w:r>
        <w:t>An entity otherwise described in clause (</w:t>
      </w:r>
      <w:proofErr w:type="spellStart"/>
      <w:r>
        <w:t>i</w:t>
      </w:r>
      <w:proofErr w:type="spellEnd"/>
      <w:r>
        <w:t xml:space="preserve">) with respect to any domestic corporation or partnership trade or business shall be treated as not so described if, on or before </w:t>
      </w:r>
      <w:r>
        <w:rPr>
          <w:rStyle w:val="Date1"/>
        </w:rPr>
        <w:t>March 4, 2003</w:t>
      </w:r>
      <w:r>
        <w:t>, such entity acquired directly or indirectly more than half of the properties held directly or indirectly by such corporation or more than half of the properties constituting such partnership trade or business, as the case may be.</w:t>
      </w:r>
    </w:p>
    <w:p w:rsidR="00FD67CC" w:rsidRDefault="00FD67CC" w:rsidP="00915D94">
      <w:pPr>
        <w:ind w:left="720"/>
        <w:rPr>
          <w:rStyle w:val="num"/>
        </w:rPr>
      </w:pPr>
      <w:bookmarkStart w:id="19" w:name="a_3"/>
      <w:bookmarkEnd w:id="19"/>
    </w:p>
    <w:p w:rsidR="001F5454" w:rsidRDefault="001F5454" w:rsidP="00915D94">
      <w:pPr>
        <w:ind w:left="720"/>
      </w:pPr>
      <w:r>
        <w:rPr>
          <w:rStyle w:val="num"/>
        </w:rPr>
        <w:t>(3)</w:t>
      </w:r>
      <w:r>
        <w:rPr>
          <w:rStyle w:val="heading"/>
        </w:rPr>
        <w:t xml:space="preserve"> Coordination with subsection (b)</w:t>
      </w:r>
      <w:r>
        <w:t xml:space="preserve"> </w:t>
      </w:r>
    </w:p>
    <w:p w:rsidR="001F5454" w:rsidRDefault="001F5454" w:rsidP="00915D94">
      <w:pPr>
        <w:pStyle w:val="NormalWeb"/>
        <w:ind w:left="720"/>
      </w:pPr>
      <w:r>
        <w:t>A corporation which is treated as a domestic corporation under subsection (b) shall not be treated as a surrogate foreign corporation for purposes of paragraph (2</w:t>
      </w:r>
      <w:proofErr w:type="gramStart"/>
      <w:r>
        <w:t>)(</w:t>
      </w:r>
      <w:proofErr w:type="gramEnd"/>
      <w:r>
        <w:t>A).</w:t>
      </w:r>
    </w:p>
    <w:p w:rsidR="001F5454" w:rsidRDefault="001F5454" w:rsidP="00915D94">
      <w:pPr>
        <w:ind w:left="720"/>
      </w:pPr>
      <w:bookmarkStart w:id="20" w:name="b"/>
      <w:bookmarkEnd w:id="20"/>
      <w:r w:rsidRPr="00D95303">
        <w:rPr>
          <w:rStyle w:val="num"/>
          <w:highlight w:val="yellow"/>
        </w:rPr>
        <w:t>(b)</w:t>
      </w:r>
      <w:r w:rsidRPr="00D95303">
        <w:rPr>
          <w:rStyle w:val="heading"/>
          <w:highlight w:val="yellow"/>
        </w:rPr>
        <w:t xml:space="preserve"> Inverted corporations treated as domestic corporations</w:t>
      </w:r>
      <w:r>
        <w:t xml:space="preserve"> </w:t>
      </w:r>
    </w:p>
    <w:p w:rsidR="001F5454" w:rsidRDefault="001F5454" w:rsidP="00915D94">
      <w:pPr>
        <w:pStyle w:val="NormalWeb"/>
        <w:ind w:left="720"/>
      </w:pPr>
      <w:r>
        <w:t>Notwithstanding section 7701(a</w:t>
      </w:r>
      <w:proofErr w:type="gramStart"/>
      <w:r>
        <w:t>)(</w:t>
      </w:r>
      <w:proofErr w:type="gramEnd"/>
      <w:r>
        <w:t>4), a foreign corporation shall be treated for purposes of this title as a domestic corporation if such corporation would be a surrogate foreign corporation if subsection (a)(2) were applied by substituting “80 percent” for “60 percent”.</w:t>
      </w:r>
    </w:p>
    <w:p w:rsidR="001F5454" w:rsidRDefault="001F5454" w:rsidP="00915D94">
      <w:pPr>
        <w:ind w:left="720"/>
      </w:pPr>
      <w:bookmarkStart w:id="21" w:name="c"/>
      <w:bookmarkEnd w:id="21"/>
      <w:r w:rsidRPr="00AE0664">
        <w:rPr>
          <w:rStyle w:val="num"/>
          <w:highlight w:val="yellow"/>
        </w:rPr>
        <w:t>(c)</w:t>
      </w:r>
      <w:r w:rsidRPr="00AE0664">
        <w:rPr>
          <w:rStyle w:val="heading"/>
          <w:highlight w:val="yellow"/>
        </w:rPr>
        <w:t xml:space="preserve"> Definitions and special rules</w:t>
      </w:r>
      <w:r>
        <w:t xml:space="preserve"> </w:t>
      </w:r>
    </w:p>
    <w:p w:rsidR="00AE0664" w:rsidRDefault="00AE0664" w:rsidP="00915D94">
      <w:pPr>
        <w:ind w:left="720"/>
        <w:rPr>
          <w:rStyle w:val="num"/>
        </w:rPr>
      </w:pPr>
      <w:bookmarkStart w:id="22" w:name="c_1"/>
      <w:bookmarkEnd w:id="22"/>
    </w:p>
    <w:p w:rsidR="001F5454" w:rsidRDefault="001F5454" w:rsidP="00915D94">
      <w:pPr>
        <w:ind w:left="720"/>
      </w:pPr>
      <w:r>
        <w:rPr>
          <w:rStyle w:val="num"/>
        </w:rPr>
        <w:t>(1)</w:t>
      </w:r>
      <w:r>
        <w:rPr>
          <w:rStyle w:val="heading"/>
        </w:rPr>
        <w:t xml:space="preserve"> Expanded affiliated group</w:t>
      </w:r>
      <w:r>
        <w:t xml:space="preserve"> </w:t>
      </w:r>
    </w:p>
    <w:p w:rsidR="001F5454" w:rsidRDefault="001F5454" w:rsidP="00915D94">
      <w:pPr>
        <w:pStyle w:val="NormalWeb"/>
        <w:ind w:left="720"/>
      </w:pPr>
      <w:r>
        <w:t>The term “expanded affiliated group” means an affiliated group as defined in section 1504(a) but without regard to section 1504(b</w:t>
      </w:r>
      <w:proofErr w:type="gramStart"/>
      <w:r>
        <w:t>)(</w:t>
      </w:r>
      <w:proofErr w:type="gramEnd"/>
      <w:r>
        <w:t>3), except that section 1504(a) shall be applied by substituting “more than 50 percent” for “at least 80 percent” each place it appears.</w:t>
      </w:r>
    </w:p>
    <w:p w:rsidR="001F5454" w:rsidRDefault="001F5454" w:rsidP="00915D94">
      <w:pPr>
        <w:ind w:left="720"/>
      </w:pPr>
      <w:bookmarkStart w:id="23" w:name="c_2"/>
      <w:bookmarkEnd w:id="23"/>
      <w:r>
        <w:rPr>
          <w:rStyle w:val="num"/>
        </w:rPr>
        <w:t>(2)</w:t>
      </w:r>
      <w:r>
        <w:rPr>
          <w:rStyle w:val="heading"/>
        </w:rPr>
        <w:t xml:space="preserve"> Certain stock disregarded</w:t>
      </w:r>
      <w:r w:rsidR="002537DE">
        <w:rPr>
          <w:rStyle w:val="heading"/>
        </w:rPr>
        <w:t xml:space="preserve"> </w:t>
      </w:r>
      <w:r>
        <w:rPr>
          <w:rStyle w:val="chapeau"/>
        </w:rPr>
        <w:t>There shall not be taken into account in determining ownership under subsection (a</w:t>
      </w:r>
      <w:proofErr w:type="gramStart"/>
      <w:r>
        <w:rPr>
          <w:rStyle w:val="chapeau"/>
        </w:rPr>
        <w:t>)(</w:t>
      </w:r>
      <w:proofErr w:type="gramEnd"/>
      <w:r>
        <w:rPr>
          <w:rStyle w:val="chapeau"/>
        </w:rPr>
        <w:t>2)(B)(ii)—</w:t>
      </w:r>
      <w:r>
        <w:t xml:space="preserve"> </w:t>
      </w:r>
    </w:p>
    <w:p w:rsidR="005044D4" w:rsidRDefault="005044D4" w:rsidP="00915D94">
      <w:pPr>
        <w:ind w:left="720"/>
      </w:pPr>
    </w:p>
    <w:p w:rsidR="001F5454" w:rsidRDefault="001F5454" w:rsidP="00915D94">
      <w:pPr>
        <w:ind w:left="720"/>
      </w:pPr>
      <w:bookmarkStart w:id="24" w:name="c_2_A"/>
      <w:bookmarkEnd w:id="24"/>
      <w:r>
        <w:rPr>
          <w:rStyle w:val="num"/>
        </w:rPr>
        <w:t>(A)</w:t>
      </w:r>
      <w:r>
        <w:t xml:space="preserve"> </w:t>
      </w:r>
      <w:proofErr w:type="gramStart"/>
      <w:r>
        <w:t>stock</w:t>
      </w:r>
      <w:proofErr w:type="gramEnd"/>
      <w:r>
        <w:t xml:space="preserve"> held by members of the expanded affiliated group which includes the foreign corporation, or</w:t>
      </w:r>
    </w:p>
    <w:p w:rsidR="001F5454" w:rsidRDefault="001F5454" w:rsidP="00915D94">
      <w:pPr>
        <w:ind w:left="720"/>
      </w:pPr>
      <w:bookmarkStart w:id="25" w:name="c_2_B"/>
      <w:bookmarkEnd w:id="25"/>
      <w:r>
        <w:rPr>
          <w:rStyle w:val="num"/>
        </w:rPr>
        <w:t>(B)</w:t>
      </w:r>
      <w:r>
        <w:t xml:space="preserve"> </w:t>
      </w:r>
      <w:r w:rsidRPr="00EF18A7">
        <w:rPr>
          <w:b/>
        </w:rPr>
        <w:t>stock of such foreign corporation which is sold in a public offering related to the acquisition described in subsection (a)(2)(B)(</w:t>
      </w:r>
      <w:proofErr w:type="spellStart"/>
      <w:r w:rsidRPr="00EF18A7">
        <w:rPr>
          <w:b/>
        </w:rPr>
        <w:t>i</w:t>
      </w:r>
      <w:proofErr w:type="spellEnd"/>
      <w:r w:rsidRPr="00EF18A7">
        <w:rPr>
          <w:b/>
        </w:rPr>
        <w:t>)</w:t>
      </w:r>
      <w:r w:rsidR="003064C1" w:rsidRPr="00EF18A7">
        <w:t xml:space="preserve"> </w:t>
      </w:r>
      <w:r w:rsidR="003064C1" w:rsidRPr="00EF18A7">
        <w:rPr>
          <w:b/>
        </w:rPr>
        <w:t>[the Statutory Public Offering Rule]</w:t>
      </w:r>
      <w:r w:rsidRPr="00EF18A7">
        <w:t>.</w:t>
      </w:r>
    </w:p>
    <w:p w:rsidR="002537DE" w:rsidRDefault="002537DE" w:rsidP="00915D94">
      <w:pPr>
        <w:ind w:left="720"/>
        <w:rPr>
          <w:rStyle w:val="num"/>
        </w:rPr>
      </w:pPr>
      <w:bookmarkStart w:id="26" w:name="c_3"/>
      <w:bookmarkEnd w:id="26"/>
    </w:p>
    <w:p w:rsidR="001F5454" w:rsidRDefault="001F5454" w:rsidP="00915D94">
      <w:pPr>
        <w:ind w:left="720"/>
      </w:pPr>
      <w:r>
        <w:rPr>
          <w:rStyle w:val="num"/>
        </w:rPr>
        <w:t>(3)</w:t>
      </w:r>
      <w:r>
        <w:rPr>
          <w:rStyle w:val="heading"/>
        </w:rPr>
        <w:t xml:space="preserve"> Plan deemed in certain cases</w:t>
      </w:r>
      <w:r>
        <w:t xml:space="preserve"> </w:t>
      </w:r>
    </w:p>
    <w:p w:rsidR="001F5454" w:rsidRDefault="001F5454" w:rsidP="00915D94">
      <w:pPr>
        <w:pStyle w:val="NormalWeb"/>
        <w:ind w:left="720"/>
      </w:pPr>
      <w:r>
        <w:t>If a foreign corporation acquires directly or indirectly substantially all of the properties of a domestic corporation or partnership during the 4-year period beginning on the date which is 2 years before the ownership requirements of subsection (a)(2)(B)(ii) are met, such actions shall be treated as pursuant to a plan.</w:t>
      </w:r>
    </w:p>
    <w:p w:rsidR="001F5454" w:rsidRDefault="001F5454" w:rsidP="00915D94">
      <w:pPr>
        <w:ind w:left="720"/>
      </w:pPr>
      <w:bookmarkStart w:id="27" w:name="c_4"/>
      <w:bookmarkEnd w:id="27"/>
      <w:r>
        <w:rPr>
          <w:rStyle w:val="num"/>
        </w:rPr>
        <w:lastRenderedPageBreak/>
        <w:t>(4)</w:t>
      </w:r>
      <w:r>
        <w:rPr>
          <w:rStyle w:val="heading"/>
        </w:rPr>
        <w:t xml:space="preserve"> Certain transfers disregarded</w:t>
      </w:r>
      <w:r>
        <w:t xml:space="preserve"> </w:t>
      </w:r>
    </w:p>
    <w:p w:rsidR="001F5454" w:rsidRDefault="001F5454" w:rsidP="00915D94">
      <w:pPr>
        <w:pStyle w:val="NormalWeb"/>
        <w:ind w:left="720"/>
      </w:pPr>
      <w:r>
        <w:t>The transfer of properties or liabilities (including by contribution or distribution) shall be disregarded if such transfers are part of a plan a principal purpose of which is to avoid the purposes of this section.</w:t>
      </w:r>
    </w:p>
    <w:p w:rsidR="001F5454" w:rsidRDefault="001F5454" w:rsidP="00915D94">
      <w:pPr>
        <w:ind w:left="720"/>
      </w:pPr>
      <w:bookmarkStart w:id="28" w:name="c_5"/>
      <w:bookmarkEnd w:id="28"/>
      <w:r>
        <w:rPr>
          <w:rStyle w:val="num"/>
        </w:rPr>
        <w:t>(5)</w:t>
      </w:r>
      <w:r>
        <w:rPr>
          <w:rStyle w:val="heading"/>
        </w:rPr>
        <w:t xml:space="preserve"> Special rule for related partnerships</w:t>
      </w:r>
      <w:r>
        <w:t xml:space="preserve"> </w:t>
      </w:r>
    </w:p>
    <w:p w:rsidR="001F5454" w:rsidRDefault="001F5454" w:rsidP="00915D94">
      <w:pPr>
        <w:pStyle w:val="NormalWeb"/>
        <w:ind w:left="720"/>
      </w:pPr>
      <w:r>
        <w:t>For purposes of applying subsection (a)(2)(B)(ii) to the acquisition of a trade or business of a domestic partnership, except as provided in regulations, all partnerships which are under common control (within the meaning of section 482) shall be treated as 1 partnership.</w:t>
      </w:r>
    </w:p>
    <w:p w:rsidR="001F5454" w:rsidRPr="00EF18A7" w:rsidRDefault="001F5454" w:rsidP="00915D94">
      <w:pPr>
        <w:ind w:left="720"/>
        <w:rPr>
          <w:b/>
        </w:rPr>
      </w:pPr>
      <w:bookmarkStart w:id="29" w:name="c_6"/>
      <w:bookmarkEnd w:id="29"/>
      <w:r>
        <w:rPr>
          <w:rStyle w:val="num"/>
        </w:rPr>
        <w:t>(6)</w:t>
      </w:r>
      <w:r>
        <w:rPr>
          <w:rStyle w:val="heading"/>
        </w:rPr>
        <w:t xml:space="preserve"> </w:t>
      </w:r>
      <w:r w:rsidRPr="00EF18A7">
        <w:rPr>
          <w:rStyle w:val="heading"/>
          <w:b/>
        </w:rPr>
        <w:t>Regulations</w:t>
      </w:r>
      <w:r w:rsidR="002537DE" w:rsidRPr="00EF18A7">
        <w:rPr>
          <w:rStyle w:val="heading"/>
          <w:b/>
        </w:rPr>
        <w:t xml:space="preserve"> </w:t>
      </w:r>
      <w:proofErr w:type="gramStart"/>
      <w:r w:rsidRPr="00EF18A7">
        <w:rPr>
          <w:rStyle w:val="chapeau"/>
          <w:b/>
        </w:rPr>
        <w:t>The</w:t>
      </w:r>
      <w:proofErr w:type="gramEnd"/>
      <w:r w:rsidR="00C5001E" w:rsidRPr="00EF18A7">
        <w:rPr>
          <w:rStyle w:val="chapeau"/>
          <w:b/>
        </w:rPr>
        <w:t xml:space="preserve"> </w:t>
      </w:r>
      <w:r w:rsidRPr="00EF18A7">
        <w:rPr>
          <w:rStyle w:val="chapeau"/>
          <w:b/>
        </w:rPr>
        <w:t>Secretary shall prescribe such regulations as may be appropriate to determine whether a corporation is a surrogate foreign corporation, including regulations—</w:t>
      </w:r>
      <w:r w:rsidRPr="00EF18A7">
        <w:rPr>
          <w:b/>
        </w:rPr>
        <w:t xml:space="preserve"> </w:t>
      </w:r>
    </w:p>
    <w:p w:rsidR="00EC1348" w:rsidRPr="00EF18A7" w:rsidRDefault="00EC1348" w:rsidP="00915D94">
      <w:pPr>
        <w:ind w:left="720"/>
        <w:rPr>
          <w:b/>
        </w:rPr>
      </w:pPr>
    </w:p>
    <w:p w:rsidR="001F5454" w:rsidRPr="00EF18A7" w:rsidRDefault="001F5454" w:rsidP="00915D94">
      <w:pPr>
        <w:ind w:left="720"/>
        <w:rPr>
          <w:b/>
        </w:rPr>
      </w:pPr>
      <w:bookmarkStart w:id="30" w:name="c_6_A"/>
      <w:bookmarkEnd w:id="30"/>
      <w:r w:rsidRPr="00EF18A7">
        <w:rPr>
          <w:rStyle w:val="num"/>
          <w:b/>
        </w:rPr>
        <w:t>(A)</w:t>
      </w:r>
      <w:r w:rsidR="00417009" w:rsidRPr="00EF18A7">
        <w:rPr>
          <w:rStyle w:val="num"/>
          <w:b/>
        </w:rPr>
        <w:t xml:space="preserve"> </w:t>
      </w:r>
      <w:proofErr w:type="gramStart"/>
      <w:r w:rsidRPr="00EF18A7">
        <w:rPr>
          <w:b/>
        </w:rPr>
        <w:t>to</w:t>
      </w:r>
      <w:proofErr w:type="gramEnd"/>
      <w:r w:rsidRPr="00EF18A7">
        <w:rPr>
          <w:b/>
        </w:rPr>
        <w:t xml:space="preserve"> treat warrants, options, contracts to acquire stock, convertible debt interests, and other similar interests as stock, and</w:t>
      </w:r>
    </w:p>
    <w:p w:rsidR="001F5454" w:rsidRPr="00EF18A7" w:rsidRDefault="001F5454" w:rsidP="00915D94">
      <w:pPr>
        <w:ind w:left="720"/>
        <w:rPr>
          <w:b/>
        </w:rPr>
      </w:pPr>
      <w:bookmarkStart w:id="31" w:name="c_6_B"/>
      <w:bookmarkEnd w:id="31"/>
      <w:r w:rsidRPr="00EF18A7">
        <w:rPr>
          <w:rStyle w:val="num"/>
          <w:b/>
        </w:rPr>
        <w:t>(B)</w:t>
      </w:r>
      <w:r w:rsidRPr="00EF18A7">
        <w:rPr>
          <w:b/>
        </w:rPr>
        <w:t xml:space="preserve"> </w:t>
      </w:r>
      <w:proofErr w:type="gramStart"/>
      <w:r w:rsidRPr="00EF18A7">
        <w:rPr>
          <w:b/>
        </w:rPr>
        <w:t>to</w:t>
      </w:r>
      <w:proofErr w:type="gramEnd"/>
      <w:r w:rsidRPr="00EF18A7">
        <w:rPr>
          <w:b/>
        </w:rPr>
        <w:t xml:space="preserve"> treat stock as not stock.</w:t>
      </w:r>
    </w:p>
    <w:p w:rsidR="00417009" w:rsidRDefault="00417009" w:rsidP="00915D94">
      <w:pPr>
        <w:ind w:left="720"/>
      </w:pPr>
    </w:p>
    <w:p w:rsidR="00AE0664" w:rsidRDefault="001F5454" w:rsidP="00915D94">
      <w:pPr>
        <w:ind w:left="720"/>
        <w:rPr>
          <w:rStyle w:val="chapeau"/>
        </w:rPr>
      </w:pPr>
      <w:bookmarkStart w:id="32" w:name="d"/>
      <w:bookmarkEnd w:id="32"/>
      <w:r w:rsidRPr="00AE0664">
        <w:rPr>
          <w:rStyle w:val="num"/>
          <w:highlight w:val="yellow"/>
        </w:rPr>
        <w:t>(d)</w:t>
      </w:r>
      <w:r w:rsidRPr="00AE0664">
        <w:rPr>
          <w:rStyle w:val="heading"/>
          <w:highlight w:val="yellow"/>
        </w:rPr>
        <w:t xml:space="preserve"> Other definitions</w:t>
      </w:r>
      <w:r w:rsidR="00417009" w:rsidRPr="00AE0664">
        <w:rPr>
          <w:rStyle w:val="heading"/>
          <w:highlight w:val="yellow"/>
        </w:rPr>
        <w:t xml:space="preserve"> </w:t>
      </w:r>
      <w:proofErr w:type="gramStart"/>
      <w:r w:rsidRPr="00AE0664">
        <w:rPr>
          <w:rStyle w:val="chapeau"/>
          <w:highlight w:val="yellow"/>
        </w:rPr>
        <w:t>For</w:t>
      </w:r>
      <w:proofErr w:type="gramEnd"/>
      <w:r w:rsidRPr="00AE0664">
        <w:rPr>
          <w:rStyle w:val="chapeau"/>
          <w:highlight w:val="yellow"/>
        </w:rPr>
        <w:t xml:space="preserve"> purposes of this section—</w:t>
      </w:r>
    </w:p>
    <w:p w:rsidR="001F5454" w:rsidRDefault="001F5454" w:rsidP="00915D94">
      <w:pPr>
        <w:ind w:left="720"/>
      </w:pPr>
      <w:r>
        <w:t xml:space="preserve"> </w:t>
      </w:r>
    </w:p>
    <w:p w:rsidR="00EC1348" w:rsidRDefault="001F5454" w:rsidP="00915D94">
      <w:pPr>
        <w:ind w:left="720"/>
        <w:rPr>
          <w:rStyle w:val="chapeau"/>
        </w:rPr>
      </w:pPr>
      <w:bookmarkStart w:id="33" w:name="d_1"/>
      <w:bookmarkEnd w:id="33"/>
      <w:r>
        <w:rPr>
          <w:rStyle w:val="num"/>
        </w:rPr>
        <w:t>(1)</w:t>
      </w:r>
      <w:r>
        <w:rPr>
          <w:rStyle w:val="heading"/>
        </w:rPr>
        <w:t xml:space="preserve"> Applicable period</w:t>
      </w:r>
      <w:r w:rsidR="00417009">
        <w:rPr>
          <w:rStyle w:val="heading"/>
        </w:rPr>
        <w:t xml:space="preserve"> </w:t>
      </w:r>
      <w:proofErr w:type="gramStart"/>
      <w:r>
        <w:rPr>
          <w:rStyle w:val="chapeau"/>
        </w:rPr>
        <w:t>The</w:t>
      </w:r>
      <w:proofErr w:type="gramEnd"/>
      <w:r>
        <w:rPr>
          <w:rStyle w:val="chapeau"/>
        </w:rPr>
        <w:t xml:space="preserve"> term “applicable period” means the period—</w:t>
      </w:r>
    </w:p>
    <w:p w:rsidR="001F5454" w:rsidRDefault="001F5454" w:rsidP="00915D94">
      <w:pPr>
        <w:ind w:left="720"/>
      </w:pPr>
      <w:r>
        <w:t xml:space="preserve"> </w:t>
      </w:r>
    </w:p>
    <w:p w:rsidR="001F5454" w:rsidRDefault="001F5454" w:rsidP="00915D94">
      <w:pPr>
        <w:ind w:left="720"/>
      </w:pPr>
      <w:bookmarkStart w:id="34" w:name="d_1_A"/>
      <w:bookmarkEnd w:id="34"/>
      <w:r>
        <w:rPr>
          <w:rStyle w:val="num"/>
        </w:rPr>
        <w:t>(A)</w:t>
      </w:r>
      <w:r>
        <w:t xml:space="preserve"> </w:t>
      </w:r>
      <w:proofErr w:type="gramStart"/>
      <w:r>
        <w:t>beginning</w:t>
      </w:r>
      <w:proofErr w:type="gramEnd"/>
      <w:r>
        <w:t xml:space="preserve"> on the first date properties are acquired as part of the acquisition described in subsection (a)(2)(B)(</w:t>
      </w:r>
      <w:proofErr w:type="spellStart"/>
      <w:r>
        <w:t>i</w:t>
      </w:r>
      <w:proofErr w:type="spellEnd"/>
      <w:r>
        <w:t>), and</w:t>
      </w:r>
    </w:p>
    <w:p w:rsidR="001F5454" w:rsidRDefault="001F5454" w:rsidP="00915D94">
      <w:pPr>
        <w:ind w:left="720"/>
      </w:pPr>
      <w:bookmarkStart w:id="35" w:name="d_1_B"/>
      <w:bookmarkEnd w:id="35"/>
      <w:r>
        <w:rPr>
          <w:rStyle w:val="num"/>
        </w:rPr>
        <w:t>(B)</w:t>
      </w:r>
      <w:r w:rsidR="00417009">
        <w:rPr>
          <w:rStyle w:val="num"/>
        </w:rPr>
        <w:t xml:space="preserve"> </w:t>
      </w:r>
      <w:proofErr w:type="gramStart"/>
      <w:r>
        <w:t>ending</w:t>
      </w:r>
      <w:proofErr w:type="gramEnd"/>
      <w:r>
        <w:t xml:space="preserve"> on the date which is 10 years after the last date properties are acquired as part of such acquisition.</w:t>
      </w:r>
    </w:p>
    <w:p w:rsidR="00417009" w:rsidRDefault="00417009" w:rsidP="00915D94">
      <w:pPr>
        <w:ind w:left="720"/>
      </w:pPr>
    </w:p>
    <w:p w:rsidR="001F5454" w:rsidRDefault="001F5454" w:rsidP="00915D94">
      <w:pPr>
        <w:ind w:left="720"/>
      </w:pPr>
      <w:bookmarkStart w:id="36" w:name="d_2"/>
      <w:bookmarkEnd w:id="36"/>
      <w:r>
        <w:rPr>
          <w:rStyle w:val="num"/>
        </w:rPr>
        <w:t>(2)</w:t>
      </w:r>
      <w:r>
        <w:rPr>
          <w:rStyle w:val="heading"/>
        </w:rPr>
        <w:t xml:space="preserve"> Inversion gain</w:t>
      </w:r>
      <w:r w:rsidR="00AE0664">
        <w:rPr>
          <w:rStyle w:val="heading"/>
        </w:rPr>
        <w:t xml:space="preserve"> </w:t>
      </w:r>
      <w:proofErr w:type="gramStart"/>
      <w:r>
        <w:rPr>
          <w:rStyle w:val="chapeau"/>
        </w:rPr>
        <w:t>The</w:t>
      </w:r>
      <w:proofErr w:type="gramEnd"/>
      <w:r>
        <w:rPr>
          <w:rStyle w:val="chapeau"/>
        </w:rPr>
        <w:t xml:space="preserve"> term “inversion gain” means the income or gain recognized by reason of the transfer during the applicable period of stock or other properties by an expatriated entity, and any income received or accrued during the applicable period by reason of a license of any property by an expatriated entity—</w:t>
      </w:r>
      <w:r>
        <w:t xml:space="preserve"> </w:t>
      </w:r>
    </w:p>
    <w:p w:rsidR="00EC1348" w:rsidRDefault="00EC1348" w:rsidP="00915D94">
      <w:pPr>
        <w:ind w:left="720"/>
      </w:pPr>
    </w:p>
    <w:p w:rsidR="001F5454" w:rsidRDefault="001F5454" w:rsidP="00915D94">
      <w:pPr>
        <w:ind w:left="720"/>
      </w:pPr>
      <w:bookmarkStart w:id="37" w:name="d_2_A"/>
      <w:bookmarkEnd w:id="37"/>
      <w:r>
        <w:rPr>
          <w:rStyle w:val="num"/>
        </w:rPr>
        <w:t>(A)</w:t>
      </w:r>
      <w:r>
        <w:t xml:space="preserve"> </w:t>
      </w:r>
      <w:proofErr w:type="gramStart"/>
      <w:r>
        <w:t>as</w:t>
      </w:r>
      <w:proofErr w:type="gramEnd"/>
      <w:r>
        <w:t xml:space="preserve"> part of the acquisition described in subsection (a)(2)(B)(</w:t>
      </w:r>
      <w:proofErr w:type="spellStart"/>
      <w:r>
        <w:t>i</w:t>
      </w:r>
      <w:proofErr w:type="spellEnd"/>
      <w:r>
        <w:t>), or</w:t>
      </w:r>
    </w:p>
    <w:p w:rsidR="001F5454" w:rsidRDefault="001F5454" w:rsidP="00915D94">
      <w:pPr>
        <w:ind w:left="720"/>
      </w:pPr>
      <w:bookmarkStart w:id="38" w:name="d_2_B"/>
      <w:bookmarkEnd w:id="38"/>
      <w:r>
        <w:rPr>
          <w:rStyle w:val="num"/>
        </w:rPr>
        <w:t>(B)</w:t>
      </w:r>
      <w:r>
        <w:t xml:space="preserve"> </w:t>
      </w:r>
      <w:proofErr w:type="gramStart"/>
      <w:r>
        <w:t>after</w:t>
      </w:r>
      <w:proofErr w:type="gramEnd"/>
      <w:r>
        <w:t xml:space="preserve"> such acquisition if the transfer or license is to a foreign related person.</w:t>
      </w:r>
    </w:p>
    <w:p w:rsidR="001F5454" w:rsidRDefault="001F5454" w:rsidP="00915D94">
      <w:pPr>
        <w:ind w:left="720"/>
      </w:pPr>
      <w:r>
        <w:t>Subparagraph (B) shall not apply to property described in section 1221(a</w:t>
      </w:r>
      <w:proofErr w:type="gramStart"/>
      <w:r>
        <w:t>)(</w:t>
      </w:r>
      <w:proofErr w:type="gramEnd"/>
      <w:r>
        <w:t>1) in the hands of the expatriated entity.</w:t>
      </w:r>
    </w:p>
    <w:p w:rsidR="00417009" w:rsidRDefault="00417009" w:rsidP="00915D94">
      <w:pPr>
        <w:ind w:left="720"/>
        <w:rPr>
          <w:rStyle w:val="num"/>
        </w:rPr>
      </w:pPr>
      <w:bookmarkStart w:id="39" w:name="d_3"/>
      <w:bookmarkEnd w:id="39"/>
    </w:p>
    <w:p w:rsidR="001F5454" w:rsidRDefault="001F5454" w:rsidP="00915D94">
      <w:pPr>
        <w:ind w:left="720"/>
      </w:pPr>
      <w:r>
        <w:rPr>
          <w:rStyle w:val="num"/>
        </w:rPr>
        <w:t>(3)</w:t>
      </w:r>
      <w:r>
        <w:rPr>
          <w:rStyle w:val="heading"/>
        </w:rPr>
        <w:t xml:space="preserve"> Foreign related </w:t>
      </w:r>
      <w:proofErr w:type="spellStart"/>
      <w:r>
        <w:rPr>
          <w:rStyle w:val="heading"/>
        </w:rPr>
        <w:t>person</w:t>
      </w:r>
      <w:r>
        <w:rPr>
          <w:rStyle w:val="chapeau"/>
        </w:rPr>
        <w:t>The</w:t>
      </w:r>
      <w:proofErr w:type="spellEnd"/>
      <w:r>
        <w:rPr>
          <w:rStyle w:val="chapeau"/>
        </w:rPr>
        <w:t xml:space="preserve"> term “foreign related person” means, with respect to any expatriated entity, a foreign person which—</w:t>
      </w:r>
      <w:r>
        <w:t xml:space="preserve"> </w:t>
      </w:r>
    </w:p>
    <w:p w:rsidR="00EC1348" w:rsidRDefault="00EC1348" w:rsidP="00915D94">
      <w:pPr>
        <w:ind w:left="720"/>
        <w:rPr>
          <w:rStyle w:val="num"/>
        </w:rPr>
      </w:pPr>
      <w:bookmarkStart w:id="40" w:name="d_3_A"/>
      <w:bookmarkEnd w:id="40"/>
    </w:p>
    <w:p w:rsidR="001F5454" w:rsidRDefault="001F5454" w:rsidP="00915D94">
      <w:pPr>
        <w:ind w:left="720"/>
      </w:pPr>
      <w:r>
        <w:rPr>
          <w:rStyle w:val="num"/>
        </w:rPr>
        <w:t>(A)</w:t>
      </w:r>
      <w:r w:rsidR="00417009">
        <w:rPr>
          <w:rStyle w:val="num"/>
        </w:rPr>
        <w:t xml:space="preserve"> </w:t>
      </w:r>
      <w:proofErr w:type="gramStart"/>
      <w:r>
        <w:t>is</w:t>
      </w:r>
      <w:proofErr w:type="gramEnd"/>
      <w:r>
        <w:t xml:space="preserve"> related (within the meaning of section 267(b) or 707(b)(1)) to such entity, or</w:t>
      </w:r>
    </w:p>
    <w:p w:rsidR="001F5454" w:rsidRDefault="001F5454" w:rsidP="00915D94">
      <w:pPr>
        <w:ind w:left="720"/>
      </w:pPr>
      <w:bookmarkStart w:id="41" w:name="d_3_B"/>
      <w:bookmarkEnd w:id="41"/>
      <w:r>
        <w:rPr>
          <w:rStyle w:val="num"/>
        </w:rPr>
        <w:t>(B)</w:t>
      </w:r>
      <w:r>
        <w:t xml:space="preserve"> is under the same common control (within the meaning of section 482) as such entity.</w:t>
      </w:r>
    </w:p>
    <w:p w:rsidR="000B2CCF" w:rsidRDefault="000B2CCF" w:rsidP="00915D94">
      <w:pPr>
        <w:ind w:left="720"/>
      </w:pPr>
    </w:p>
    <w:p w:rsidR="001F5454" w:rsidRDefault="001F5454" w:rsidP="00915D94">
      <w:pPr>
        <w:ind w:left="720"/>
      </w:pPr>
      <w:bookmarkStart w:id="42" w:name="e"/>
      <w:bookmarkEnd w:id="42"/>
      <w:r w:rsidRPr="00EC1348">
        <w:rPr>
          <w:rStyle w:val="num"/>
          <w:highlight w:val="yellow"/>
        </w:rPr>
        <w:lastRenderedPageBreak/>
        <w:t>(e)</w:t>
      </w:r>
      <w:r w:rsidRPr="00EC1348">
        <w:rPr>
          <w:rStyle w:val="heading"/>
          <w:highlight w:val="yellow"/>
        </w:rPr>
        <w:t xml:space="preserve"> Special rules</w:t>
      </w:r>
      <w:r>
        <w:t xml:space="preserve"> </w:t>
      </w:r>
    </w:p>
    <w:p w:rsidR="001F5454" w:rsidRDefault="001F5454" w:rsidP="00915D94">
      <w:pPr>
        <w:ind w:left="720"/>
      </w:pPr>
      <w:bookmarkStart w:id="43" w:name="e_1"/>
      <w:bookmarkEnd w:id="43"/>
      <w:r>
        <w:rPr>
          <w:rStyle w:val="num"/>
        </w:rPr>
        <w:t>(1)</w:t>
      </w:r>
      <w:r>
        <w:rPr>
          <w:rStyle w:val="heading"/>
        </w:rPr>
        <w:t xml:space="preserve"> Credits not allowed against tax on inversion </w:t>
      </w:r>
      <w:proofErr w:type="spellStart"/>
      <w:r>
        <w:rPr>
          <w:rStyle w:val="heading"/>
        </w:rPr>
        <w:t>gain</w:t>
      </w:r>
      <w:r>
        <w:rPr>
          <w:rStyle w:val="chapeau"/>
        </w:rPr>
        <w:t>Credits</w:t>
      </w:r>
      <w:proofErr w:type="spellEnd"/>
      <w:r>
        <w:rPr>
          <w:rStyle w:val="chapeau"/>
        </w:rPr>
        <w:t xml:space="preserve"> (other than the credit allowed by section 901) shall be allowed against the tax imposed by this chapter on an expatriated entity for any taxable year described in subsection (a) only to the extent such tax exceeds the product of—</w:t>
      </w:r>
      <w:r>
        <w:t xml:space="preserve"> </w:t>
      </w:r>
    </w:p>
    <w:p w:rsidR="000B2CCF" w:rsidRDefault="000B2CCF" w:rsidP="00915D94">
      <w:pPr>
        <w:ind w:left="720"/>
        <w:rPr>
          <w:rStyle w:val="num"/>
        </w:rPr>
      </w:pPr>
      <w:bookmarkStart w:id="44" w:name="e_1_A"/>
      <w:bookmarkEnd w:id="44"/>
    </w:p>
    <w:p w:rsidR="001F5454" w:rsidRDefault="001F5454" w:rsidP="00915D94">
      <w:pPr>
        <w:ind w:left="720"/>
      </w:pPr>
      <w:r>
        <w:rPr>
          <w:rStyle w:val="num"/>
        </w:rPr>
        <w:t>(A)</w:t>
      </w:r>
      <w:r w:rsidR="000B2CCF">
        <w:t xml:space="preserve"> </w:t>
      </w:r>
      <w:proofErr w:type="gramStart"/>
      <w:r>
        <w:t>the</w:t>
      </w:r>
      <w:proofErr w:type="gramEnd"/>
      <w:r>
        <w:t xml:space="preserve"> amount of the inversion gain for the taxable year, and</w:t>
      </w:r>
    </w:p>
    <w:p w:rsidR="001F5454" w:rsidRDefault="001F5454" w:rsidP="00915D94">
      <w:pPr>
        <w:ind w:left="720"/>
      </w:pPr>
      <w:bookmarkStart w:id="45" w:name="e_1_B"/>
      <w:bookmarkEnd w:id="45"/>
      <w:r>
        <w:rPr>
          <w:rStyle w:val="num"/>
        </w:rPr>
        <w:t>(B)</w:t>
      </w:r>
      <w:r w:rsidR="000B2CCF">
        <w:rPr>
          <w:rStyle w:val="num"/>
        </w:rPr>
        <w:t xml:space="preserve"> </w:t>
      </w:r>
      <w:proofErr w:type="gramStart"/>
      <w:r>
        <w:t>the</w:t>
      </w:r>
      <w:proofErr w:type="gramEnd"/>
      <w:r>
        <w:t xml:space="preserve"> highest rate of tax specified in section 11(b)(1).</w:t>
      </w:r>
    </w:p>
    <w:p w:rsidR="001F5454" w:rsidRDefault="001F5454" w:rsidP="00915D94">
      <w:pPr>
        <w:ind w:left="720"/>
      </w:pPr>
      <w:r>
        <w:t>For purposes of determining the credit allowed by section 901, inversion gain shall be treated as from sources within the United States.</w:t>
      </w:r>
    </w:p>
    <w:p w:rsidR="000B2CCF" w:rsidRDefault="000B2CCF" w:rsidP="00915D94">
      <w:pPr>
        <w:ind w:left="720"/>
      </w:pPr>
    </w:p>
    <w:p w:rsidR="001F5454" w:rsidRDefault="001F5454" w:rsidP="00915D94">
      <w:pPr>
        <w:ind w:left="720"/>
      </w:pPr>
      <w:bookmarkStart w:id="46" w:name="e_2"/>
      <w:bookmarkEnd w:id="46"/>
      <w:r>
        <w:rPr>
          <w:rStyle w:val="num"/>
        </w:rPr>
        <w:t>(2)</w:t>
      </w:r>
      <w:r>
        <w:rPr>
          <w:rStyle w:val="heading"/>
        </w:rPr>
        <w:t xml:space="preserve"> Special rules for </w:t>
      </w:r>
      <w:proofErr w:type="spellStart"/>
      <w:r>
        <w:rPr>
          <w:rStyle w:val="heading"/>
        </w:rPr>
        <w:t>partnerships</w:t>
      </w:r>
      <w:r>
        <w:rPr>
          <w:rStyle w:val="chapeau"/>
        </w:rPr>
        <w:t>In</w:t>
      </w:r>
      <w:proofErr w:type="spellEnd"/>
      <w:r>
        <w:rPr>
          <w:rStyle w:val="chapeau"/>
        </w:rPr>
        <w:t xml:space="preserve"> the case of an expatriated entity which is a partnership—</w:t>
      </w:r>
      <w:r>
        <w:t xml:space="preserve"> </w:t>
      </w:r>
    </w:p>
    <w:p w:rsidR="000B2CCF" w:rsidRDefault="000B2CCF" w:rsidP="00915D94">
      <w:pPr>
        <w:ind w:left="720"/>
        <w:rPr>
          <w:rStyle w:val="num"/>
        </w:rPr>
      </w:pPr>
      <w:bookmarkStart w:id="47" w:name="e_2_A"/>
      <w:bookmarkEnd w:id="47"/>
    </w:p>
    <w:p w:rsidR="001F5454" w:rsidRDefault="001F5454" w:rsidP="00915D94">
      <w:pPr>
        <w:ind w:left="720"/>
      </w:pPr>
      <w:r>
        <w:rPr>
          <w:rStyle w:val="num"/>
        </w:rPr>
        <w:t>(A)</w:t>
      </w:r>
      <w:r w:rsidR="000B2CCF">
        <w:rPr>
          <w:rStyle w:val="num"/>
        </w:rPr>
        <w:t xml:space="preserve"> </w:t>
      </w:r>
      <w:r>
        <w:t>subsection (a</w:t>
      </w:r>
      <w:proofErr w:type="gramStart"/>
      <w:r>
        <w:t>)(</w:t>
      </w:r>
      <w:proofErr w:type="gramEnd"/>
      <w:r>
        <w:t>1) shall apply at the partner rather than the partnership level,</w:t>
      </w:r>
    </w:p>
    <w:p w:rsidR="001F5454" w:rsidRDefault="001F5454" w:rsidP="00915D94">
      <w:pPr>
        <w:ind w:left="720"/>
      </w:pPr>
      <w:bookmarkStart w:id="48" w:name="e_2_B"/>
      <w:bookmarkEnd w:id="48"/>
      <w:r>
        <w:rPr>
          <w:rStyle w:val="num"/>
        </w:rPr>
        <w:t>(B)</w:t>
      </w:r>
      <w:r>
        <w:rPr>
          <w:rStyle w:val="chapeau"/>
        </w:rPr>
        <w:t xml:space="preserve"> </w:t>
      </w:r>
      <w:proofErr w:type="gramStart"/>
      <w:r>
        <w:rPr>
          <w:rStyle w:val="chapeau"/>
        </w:rPr>
        <w:t>the</w:t>
      </w:r>
      <w:proofErr w:type="gramEnd"/>
      <w:r>
        <w:rPr>
          <w:rStyle w:val="chapeau"/>
        </w:rPr>
        <w:t xml:space="preserve"> inversion gain of any partner for any taxable year shall be equal to the sum of—</w:t>
      </w:r>
      <w:r>
        <w:t xml:space="preserve"> </w:t>
      </w:r>
    </w:p>
    <w:p w:rsidR="001F5454" w:rsidRDefault="001F5454" w:rsidP="00915D94">
      <w:pPr>
        <w:ind w:left="1440"/>
      </w:pPr>
      <w:bookmarkStart w:id="49" w:name="e_2_B_i"/>
      <w:bookmarkEnd w:id="49"/>
      <w:r>
        <w:rPr>
          <w:rStyle w:val="num"/>
        </w:rPr>
        <w:t>(</w:t>
      </w:r>
      <w:proofErr w:type="spellStart"/>
      <w:r>
        <w:rPr>
          <w:rStyle w:val="num"/>
        </w:rPr>
        <w:t>i</w:t>
      </w:r>
      <w:proofErr w:type="spellEnd"/>
      <w:r>
        <w:rPr>
          <w:rStyle w:val="num"/>
        </w:rPr>
        <w:t>)</w:t>
      </w:r>
      <w:r>
        <w:t xml:space="preserve"> </w:t>
      </w:r>
      <w:proofErr w:type="gramStart"/>
      <w:r>
        <w:t>the</w:t>
      </w:r>
      <w:proofErr w:type="gramEnd"/>
      <w:r>
        <w:t xml:space="preserve"> partner’s distributive share of inversion gain of the partnership for such taxable year, plus</w:t>
      </w:r>
    </w:p>
    <w:p w:rsidR="001F5454" w:rsidRDefault="001F5454" w:rsidP="00915D94">
      <w:pPr>
        <w:ind w:left="1440"/>
      </w:pPr>
      <w:bookmarkStart w:id="50" w:name="e_2_B_ii"/>
      <w:bookmarkEnd w:id="50"/>
      <w:r>
        <w:rPr>
          <w:rStyle w:val="num"/>
        </w:rPr>
        <w:t>(ii)</w:t>
      </w:r>
      <w:r>
        <w:t xml:space="preserve"> </w:t>
      </w:r>
      <w:proofErr w:type="gramStart"/>
      <w:r>
        <w:t>gain</w:t>
      </w:r>
      <w:proofErr w:type="gramEnd"/>
      <w:r>
        <w:t xml:space="preserve"> recognized for the taxable year by the partner by reason of the transfer during the applicable period of any partnership interest of the partner in such partnership to the surrogate foreign corporation, and</w:t>
      </w:r>
    </w:p>
    <w:p w:rsidR="001F5454" w:rsidRDefault="001F5454" w:rsidP="00915D94">
      <w:pPr>
        <w:ind w:left="720"/>
      </w:pPr>
      <w:bookmarkStart w:id="51" w:name="e_2_C"/>
      <w:bookmarkEnd w:id="51"/>
      <w:r>
        <w:rPr>
          <w:rStyle w:val="num"/>
        </w:rPr>
        <w:t>(C)</w:t>
      </w:r>
      <w:r>
        <w:t xml:space="preserve"> </w:t>
      </w:r>
      <w:proofErr w:type="gramStart"/>
      <w:r>
        <w:t>the</w:t>
      </w:r>
      <w:proofErr w:type="gramEnd"/>
      <w:r>
        <w:t xml:space="preserve"> highest rate of tax specified in the rate schedule applicable to the partner under this chapter shall be substituted for the rate of tax referred to in paragraph (1).</w:t>
      </w:r>
    </w:p>
    <w:p w:rsidR="00C5001E" w:rsidRDefault="00C5001E" w:rsidP="00915D94">
      <w:pPr>
        <w:ind w:left="720"/>
      </w:pPr>
    </w:p>
    <w:p w:rsidR="001F5454" w:rsidRDefault="001F5454" w:rsidP="00915D94">
      <w:pPr>
        <w:ind w:left="720"/>
      </w:pPr>
      <w:bookmarkStart w:id="52" w:name="e_3"/>
      <w:bookmarkEnd w:id="52"/>
      <w:r>
        <w:rPr>
          <w:rStyle w:val="num"/>
        </w:rPr>
        <w:t>(3)</w:t>
      </w:r>
      <w:r>
        <w:rPr>
          <w:rStyle w:val="heading"/>
        </w:rPr>
        <w:t xml:space="preserve"> Coordination with section 172 and minimum tax</w:t>
      </w:r>
      <w:r>
        <w:t xml:space="preserve"> </w:t>
      </w:r>
    </w:p>
    <w:p w:rsidR="001F5454" w:rsidRDefault="001F5454" w:rsidP="00915D94">
      <w:pPr>
        <w:pStyle w:val="NormalWeb"/>
        <w:ind w:left="720"/>
      </w:pPr>
      <w:r>
        <w:t xml:space="preserve">Rules similar to the rules of paragraphs (3) and (4) of section </w:t>
      </w:r>
      <w:proofErr w:type="gramStart"/>
      <w:r>
        <w:t>860E(</w:t>
      </w:r>
      <w:proofErr w:type="gramEnd"/>
      <w:r>
        <w:t>a) shall apply for purposes of subsection (a).</w:t>
      </w:r>
    </w:p>
    <w:p w:rsidR="001F5454" w:rsidRDefault="001F5454" w:rsidP="00915D94">
      <w:pPr>
        <w:ind w:left="720"/>
      </w:pPr>
      <w:bookmarkStart w:id="53" w:name="e_4"/>
      <w:bookmarkEnd w:id="53"/>
      <w:r>
        <w:rPr>
          <w:rStyle w:val="num"/>
        </w:rPr>
        <w:t>(4)</w:t>
      </w:r>
      <w:r>
        <w:rPr>
          <w:rStyle w:val="heading"/>
        </w:rPr>
        <w:t xml:space="preserve"> Statute of limitations</w:t>
      </w:r>
      <w:r>
        <w:t xml:space="preserve"> </w:t>
      </w:r>
    </w:p>
    <w:p w:rsidR="00C5001E" w:rsidRDefault="00C5001E" w:rsidP="00915D94">
      <w:pPr>
        <w:ind w:left="720"/>
      </w:pPr>
    </w:p>
    <w:p w:rsidR="00AA6211" w:rsidRDefault="001F5454" w:rsidP="00915D94">
      <w:pPr>
        <w:ind w:left="720"/>
      </w:pPr>
      <w:bookmarkStart w:id="54" w:name="e_4_A"/>
      <w:bookmarkEnd w:id="54"/>
      <w:r>
        <w:rPr>
          <w:rStyle w:val="num"/>
        </w:rPr>
        <w:t>(A)</w:t>
      </w:r>
      <w:r>
        <w:rPr>
          <w:rStyle w:val="heading"/>
        </w:rPr>
        <w:t xml:space="preserve"> In general</w:t>
      </w:r>
      <w:r>
        <w:t xml:space="preserve"> </w:t>
      </w:r>
    </w:p>
    <w:p w:rsidR="001F5454" w:rsidRDefault="001F5454" w:rsidP="00915D94">
      <w:pPr>
        <w:ind w:left="720"/>
      </w:pPr>
      <w:r>
        <w:t>The statutory period for the assessment of any deficiency attributable to the inversion gain of any taxpayer for any pre-inversion year shall not expire before the expiration of 3 years from the date the Secretary is notified by the taxpayer (in such manner as the Secretary may prescribe) of the acquisition described in subsection (a)(2)(B)(</w:t>
      </w:r>
      <w:proofErr w:type="spellStart"/>
      <w:r>
        <w:t>i</w:t>
      </w:r>
      <w:proofErr w:type="spellEnd"/>
      <w:r>
        <w:t>) to which such gain relates and such deficiency may be assessed before the expiration of such 3-year period notwithstanding the provisions of any other law or rule of law which would otherwise prevent such assessment.</w:t>
      </w:r>
    </w:p>
    <w:p w:rsidR="001F5454" w:rsidRDefault="001F5454" w:rsidP="00915D94">
      <w:pPr>
        <w:ind w:left="720"/>
      </w:pPr>
      <w:bookmarkStart w:id="55" w:name="e_4_B"/>
      <w:bookmarkEnd w:id="55"/>
      <w:r>
        <w:rPr>
          <w:rStyle w:val="num"/>
        </w:rPr>
        <w:t>(B)</w:t>
      </w:r>
      <w:r>
        <w:rPr>
          <w:rStyle w:val="heading"/>
        </w:rPr>
        <w:t xml:space="preserve"> Pre-inversion year</w:t>
      </w:r>
      <w:r w:rsidR="000A2E0F">
        <w:rPr>
          <w:rStyle w:val="heading"/>
        </w:rPr>
        <w:t xml:space="preserve"> </w:t>
      </w:r>
      <w:proofErr w:type="gramStart"/>
      <w:r>
        <w:rPr>
          <w:rStyle w:val="chapeau"/>
        </w:rPr>
        <w:t>For</w:t>
      </w:r>
      <w:proofErr w:type="gramEnd"/>
      <w:r>
        <w:rPr>
          <w:rStyle w:val="chapeau"/>
        </w:rPr>
        <w:t xml:space="preserve"> purposes of subparagraph (A), the term “pre-inversion year” means any taxable year if—</w:t>
      </w:r>
      <w:r>
        <w:t xml:space="preserve"> </w:t>
      </w:r>
    </w:p>
    <w:p w:rsidR="005044D4" w:rsidRDefault="005044D4" w:rsidP="00915D94">
      <w:pPr>
        <w:ind w:left="720"/>
      </w:pPr>
    </w:p>
    <w:p w:rsidR="001F5454" w:rsidRDefault="001F5454" w:rsidP="00915D94">
      <w:pPr>
        <w:ind w:left="1440"/>
      </w:pPr>
      <w:bookmarkStart w:id="56" w:name="e_4_B_i"/>
      <w:bookmarkEnd w:id="56"/>
      <w:r>
        <w:rPr>
          <w:rStyle w:val="num"/>
        </w:rPr>
        <w:t>(</w:t>
      </w:r>
      <w:proofErr w:type="spellStart"/>
      <w:r>
        <w:rPr>
          <w:rStyle w:val="num"/>
        </w:rPr>
        <w:t>i</w:t>
      </w:r>
      <w:proofErr w:type="spellEnd"/>
      <w:r>
        <w:rPr>
          <w:rStyle w:val="num"/>
        </w:rPr>
        <w:t>)</w:t>
      </w:r>
      <w:r>
        <w:t xml:space="preserve"> </w:t>
      </w:r>
      <w:proofErr w:type="gramStart"/>
      <w:r>
        <w:t>any</w:t>
      </w:r>
      <w:proofErr w:type="gramEnd"/>
      <w:r>
        <w:t xml:space="preserve"> portion of the applicable period is included in such taxable year, and</w:t>
      </w:r>
    </w:p>
    <w:p w:rsidR="001F5454" w:rsidRDefault="001F5454" w:rsidP="00915D94">
      <w:pPr>
        <w:ind w:left="1440"/>
      </w:pPr>
      <w:bookmarkStart w:id="57" w:name="e_4_B_ii"/>
      <w:bookmarkEnd w:id="57"/>
      <w:r>
        <w:rPr>
          <w:rStyle w:val="num"/>
        </w:rPr>
        <w:t>(ii)</w:t>
      </w:r>
      <w:r w:rsidR="00AA6211">
        <w:rPr>
          <w:rStyle w:val="num"/>
        </w:rPr>
        <w:t xml:space="preserve"> </w:t>
      </w:r>
      <w:proofErr w:type="gramStart"/>
      <w:r>
        <w:t>such</w:t>
      </w:r>
      <w:proofErr w:type="gramEnd"/>
      <w:r>
        <w:t xml:space="preserve"> year ends before the taxable year in which the acquisition described in subsection (a)(2)(B)(</w:t>
      </w:r>
      <w:proofErr w:type="spellStart"/>
      <w:r>
        <w:t>i</w:t>
      </w:r>
      <w:proofErr w:type="spellEnd"/>
      <w:r>
        <w:t>) is completed.</w:t>
      </w:r>
    </w:p>
    <w:p w:rsidR="00AA6211" w:rsidRDefault="00AA6211" w:rsidP="00915D94">
      <w:pPr>
        <w:ind w:left="720"/>
        <w:rPr>
          <w:rStyle w:val="num"/>
        </w:rPr>
      </w:pPr>
      <w:bookmarkStart w:id="58" w:name="f"/>
      <w:bookmarkEnd w:id="58"/>
    </w:p>
    <w:p w:rsidR="001F5454" w:rsidRDefault="001F5454" w:rsidP="00915D94">
      <w:pPr>
        <w:ind w:left="720"/>
      </w:pPr>
      <w:r w:rsidRPr="00AA6211">
        <w:rPr>
          <w:rStyle w:val="num"/>
          <w:highlight w:val="yellow"/>
        </w:rPr>
        <w:lastRenderedPageBreak/>
        <w:t>(f)</w:t>
      </w:r>
      <w:r w:rsidRPr="00AA6211">
        <w:rPr>
          <w:rStyle w:val="heading"/>
          <w:highlight w:val="yellow"/>
        </w:rPr>
        <w:t xml:space="preserve"> Special rule for treaties</w:t>
      </w:r>
      <w:r>
        <w:t xml:space="preserve"> </w:t>
      </w:r>
    </w:p>
    <w:p w:rsidR="001F5454" w:rsidRDefault="001F5454" w:rsidP="00915D94">
      <w:pPr>
        <w:pStyle w:val="NormalWeb"/>
        <w:ind w:left="720"/>
      </w:pPr>
      <w:r>
        <w:t>Nothing in section 894 or 7852(d) or in any other provision of law shall be construed as permitting an exemption, by reason of any treaty obligation of the United States heretofore or hereafter entered into, from the provisions of this section.</w:t>
      </w:r>
    </w:p>
    <w:p w:rsidR="001F5454" w:rsidRDefault="001F5454" w:rsidP="00915D94">
      <w:pPr>
        <w:ind w:left="720"/>
      </w:pPr>
      <w:bookmarkStart w:id="59" w:name="g"/>
      <w:bookmarkEnd w:id="59"/>
      <w:r w:rsidRPr="00AA6211">
        <w:rPr>
          <w:rStyle w:val="num"/>
          <w:highlight w:val="yellow"/>
        </w:rPr>
        <w:t>(g)</w:t>
      </w:r>
      <w:r w:rsidRPr="00AA6211">
        <w:rPr>
          <w:rStyle w:val="heading"/>
          <w:highlight w:val="yellow"/>
        </w:rPr>
        <w:t xml:space="preserve"> Regulations</w:t>
      </w:r>
      <w:r w:rsidR="00AA6211">
        <w:rPr>
          <w:rStyle w:val="heading"/>
        </w:rPr>
        <w:t xml:space="preserve"> </w:t>
      </w:r>
      <w:proofErr w:type="gramStart"/>
      <w:r>
        <w:rPr>
          <w:rStyle w:val="chapeau"/>
        </w:rPr>
        <w:t>The</w:t>
      </w:r>
      <w:proofErr w:type="gramEnd"/>
      <w:r>
        <w:rPr>
          <w:rStyle w:val="chapeau"/>
        </w:rPr>
        <w:t xml:space="preserve"> Secretary shall provide such regulations as are necessary to carry out this section, including regulations providing for such adjustments to the application of this section as are necessary to prevent the avoidance of the purposes of this section, including the avoidance of such purposes through—</w:t>
      </w:r>
      <w:r>
        <w:t xml:space="preserve"> </w:t>
      </w:r>
    </w:p>
    <w:p w:rsidR="00DD54AA" w:rsidRDefault="00DD54AA" w:rsidP="00915D94">
      <w:pPr>
        <w:ind w:left="720"/>
      </w:pPr>
    </w:p>
    <w:p w:rsidR="001F5454" w:rsidRDefault="001F5454" w:rsidP="00915D94">
      <w:pPr>
        <w:ind w:left="720"/>
      </w:pPr>
      <w:bookmarkStart w:id="60" w:name="g_1"/>
      <w:bookmarkEnd w:id="60"/>
      <w:r>
        <w:rPr>
          <w:rStyle w:val="num"/>
        </w:rPr>
        <w:t>(1)</w:t>
      </w:r>
      <w:r>
        <w:t xml:space="preserve"> </w:t>
      </w:r>
      <w:proofErr w:type="gramStart"/>
      <w:r>
        <w:t>the</w:t>
      </w:r>
      <w:proofErr w:type="gramEnd"/>
      <w:r>
        <w:t xml:space="preserve"> use of related persons, pass-through or other </w:t>
      </w:r>
      <w:proofErr w:type="spellStart"/>
      <w:r>
        <w:t>noncorporate</w:t>
      </w:r>
      <w:proofErr w:type="spellEnd"/>
      <w:r>
        <w:t xml:space="preserve"> entities, or other intermediaries, or</w:t>
      </w:r>
    </w:p>
    <w:p w:rsidR="001F5454" w:rsidRDefault="001F5454" w:rsidP="00915D94">
      <w:pPr>
        <w:ind w:left="720"/>
      </w:pPr>
      <w:bookmarkStart w:id="61" w:name="g_2"/>
      <w:bookmarkEnd w:id="61"/>
      <w:r>
        <w:rPr>
          <w:rStyle w:val="num"/>
        </w:rPr>
        <w:t>(2)</w:t>
      </w:r>
      <w:r w:rsidR="00AA6211">
        <w:rPr>
          <w:rStyle w:val="num"/>
        </w:rPr>
        <w:t xml:space="preserve">  </w:t>
      </w:r>
      <w:proofErr w:type="gramStart"/>
      <w:r>
        <w:t>transactions</w:t>
      </w:r>
      <w:proofErr w:type="gramEnd"/>
      <w:r>
        <w:t xml:space="preserve"> designed to have persons cease to be (or not become) members of expanded affiliated groups or related persons.</w:t>
      </w:r>
    </w:p>
    <w:p w:rsidR="00851418" w:rsidRPr="00851418" w:rsidRDefault="00851418" w:rsidP="00851418"/>
    <w:p w:rsidR="006733BD" w:rsidRDefault="00DB0763" w:rsidP="009B44BA">
      <w:pPr>
        <w:pStyle w:val="Heading1"/>
      </w:pPr>
      <w:r>
        <w:rPr>
          <w:caps w:val="0"/>
        </w:rPr>
        <w:t xml:space="preserve"> </w:t>
      </w:r>
      <w:bookmarkStart w:id="62" w:name="_Toc449441981"/>
      <w:r w:rsidR="00CF2C25">
        <w:rPr>
          <w:caps w:val="0"/>
        </w:rPr>
        <w:t xml:space="preserve">INTRODUCTION TO THE 2016 </w:t>
      </w:r>
      <w:r w:rsidR="00CF2C25" w:rsidRPr="004E1E35">
        <w:rPr>
          <w:caps w:val="0"/>
        </w:rPr>
        <w:t>INVERSION AND RELATED TRANSACTIONS REGULATIONS</w:t>
      </w:r>
      <w:bookmarkEnd w:id="62"/>
    </w:p>
    <w:p w:rsidR="00CF2C25" w:rsidRDefault="00CF2C25" w:rsidP="00B34C4A">
      <w:pPr>
        <w:pStyle w:val="Heading2"/>
      </w:pPr>
      <w:bookmarkStart w:id="63" w:name="_Toc449441982"/>
      <w:r>
        <w:t>GENERAL SCOPE OF THE REGULATION</w:t>
      </w:r>
      <w:bookmarkEnd w:id="63"/>
    </w:p>
    <w:p w:rsidR="002D005A" w:rsidRDefault="00CE5FB0">
      <w:r w:rsidRPr="00CE5FB0">
        <w:t xml:space="preserve">The Summary of the 2016 General Inversion </w:t>
      </w:r>
      <w:proofErr w:type="spellStart"/>
      <w:r w:rsidRPr="00CE5FB0">
        <w:t>Regs</w:t>
      </w:r>
      <w:proofErr w:type="spellEnd"/>
      <w:r w:rsidR="00DB0763">
        <w:t xml:space="preserve"> </w:t>
      </w:r>
      <w:r w:rsidR="002D005A">
        <w:t xml:space="preserve">gives the following guidance on the scope of the regulations: </w:t>
      </w:r>
    </w:p>
    <w:p w:rsidR="002D005A" w:rsidRDefault="002D005A"/>
    <w:p w:rsidR="002D005A" w:rsidRPr="002D005A" w:rsidRDefault="002D005A" w:rsidP="002D005A">
      <w:pPr>
        <w:ind w:left="720"/>
      </w:pPr>
      <w:r w:rsidRPr="002D005A">
        <w:t>This document contains temporary regulations that address transactions</w:t>
      </w:r>
      <w:r w:rsidR="009C3CA4">
        <w:t xml:space="preserve"> </w:t>
      </w:r>
      <w:r w:rsidRPr="002D005A">
        <w:t xml:space="preserve">that are structured to avoid the purposes of </w:t>
      </w:r>
      <w:r w:rsidR="000F192E">
        <w:t>Section</w:t>
      </w:r>
      <w:r w:rsidRPr="002D005A">
        <w:t>s 7874 and 367 of the Internal</w:t>
      </w:r>
      <w:r w:rsidR="009C3CA4">
        <w:t xml:space="preserve"> </w:t>
      </w:r>
      <w:r w:rsidRPr="002D005A">
        <w:t>Revenue Code (the Code) and certain post-inversion tax avoidance transactions.</w:t>
      </w:r>
      <w:r w:rsidR="009C3CA4">
        <w:t xml:space="preserve">  </w:t>
      </w:r>
      <w:r w:rsidRPr="002D005A">
        <w:t>These regulations affect certain domestic corporations and domestic partnerships</w:t>
      </w:r>
      <w:r w:rsidR="009C3CA4">
        <w:t xml:space="preserve"> </w:t>
      </w:r>
      <w:r w:rsidRPr="002D005A">
        <w:t>whose assets are directly or indirectly acquired by a foreign corporation and certain</w:t>
      </w:r>
      <w:r w:rsidR="009C3CA4">
        <w:t xml:space="preserve"> </w:t>
      </w:r>
      <w:r w:rsidRPr="002D005A">
        <w:t>persons related to such domestic corporations and domestic partnerships. The text of</w:t>
      </w:r>
      <w:r w:rsidR="009C3CA4">
        <w:t xml:space="preserve"> </w:t>
      </w:r>
      <w:r w:rsidRPr="002D005A">
        <w:t>the temporary regulations also serves as the text of the proposed regulations set forth in</w:t>
      </w:r>
      <w:r w:rsidR="009C3CA4">
        <w:t xml:space="preserve"> </w:t>
      </w:r>
      <w:r w:rsidRPr="002D005A">
        <w:t xml:space="preserve">the notice of proposed rulemaking on this subject in the Proposed Rules </w:t>
      </w:r>
      <w:r w:rsidR="000F192E">
        <w:t>Section</w:t>
      </w:r>
      <w:r w:rsidRPr="002D005A">
        <w:t xml:space="preserve"> of this</w:t>
      </w:r>
      <w:r w:rsidR="009C3CA4">
        <w:t xml:space="preserve"> </w:t>
      </w:r>
      <w:r w:rsidRPr="002D005A">
        <w:t xml:space="preserve">issue of the Federal Register. </w:t>
      </w:r>
    </w:p>
    <w:p w:rsidR="00BF1613" w:rsidRDefault="00BF1613"/>
    <w:p w:rsidR="00B75C4E" w:rsidRDefault="00BF1613">
      <w:r>
        <w:t xml:space="preserve">This </w:t>
      </w:r>
      <w:r w:rsidR="000F192E">
        <w:t>Section</w:t>
      </w:r>
      <w:r>
        <w:t xml:space="preserve"> discusses these regulations in the order in which the particular </w:t>
      </w:r>
      <w:r w:rsidR="000F192E">
        <w:t>Section</w:t>
      </w:r>
      <w:r>
        <w:t>s of the regulations are discussed in the preamble to the regulations.</w:t>
      </w:r>
      <w:r w:rsidR="0088402A">
        <w:t xml:space="preserve">    </w:t>
      </w:r>
    </w:p>
    <w:p w:rsidR="00B75C4E" w:rsidRPr="00FC4398" w:rsidRDefault="004B3672" w:rsidP="00B34C4A">
      <w:pPr>
        <w:pStyle w:val="Heading2"/>
      </w:pPr>
      <w:bookmarkStart w:id="64" w:name="_Toc449441983"/>
      <w:r>
        <w:t>INTRODUCTION TO THE SIGNIFICANCE OF THE OWNERSHIP PERCENTAGE, RIGHT SIZING, AND PFIZER’S ABANDONED INVERSION WITH ALLERGAN</w:t>
      </w:r>
      <w:bookmarkEnd w:id="64"/>
    </w:p>
    <w:p w:rsidR="00D55676" w:rsidRDefault="00DB0763" w:rsidP="00B75C4E">
      <w:r>
        <w:t>The “Ownership Percentage” of the U.S. shareholders is central under both Sections 7874 and 367(a).  U</w:t>
      </w:r>
      <w:r w:rsidR="00E21613">
        <w:t xml:space="preserve">nder </w:t>
      </w:r>
      <w:r w:rsidR="000F192E">
        <w:t>Section</w:t>
      </w:r>
      <w:r w:rsidR="00E21613">
        <w:t xml:space="preserve"> 7874, t</w:t>
      </w:r>
      <w:r w:rsidR="005215CB">
        <w:t xml:space="preserve">he </w:t>
      </w:r>
      <w:r w:rsidR="005215CB" w:rsidRPr="00B75C4E">
        <w:t>“</w:t>
      </w:r>
      <w:r w:rsidR="007347D9" w:rsidRPr="00B75C4E">
        <w:t>Ownership Percentage</w:t>
      </w:r>
      <w:r w:rsidR="005215CB" w:rsidRPr="00B75C4E">
        <w:t xml:space="preserve">,” </w:t>
      </w:r>
      <w:r w:rsidR="005215CB">
        <w:t>is the percentage of the stock</w:t>
      </w:r>
      <w:r w:rsidR="00391C6B">
        <w:t xml:space="preserve"> </w:t>
      </w:r>
      <w:r w:rsidR="00391C6B" w:rsidRPr="00B75C4E">
        <w:t>(by vote or value) of the foreign acquiring</w:t>
      </w:r>
      <w:r w:rsidR="00391C6B">
        <w:t xml:space="preserve"> corporation </w:t>
      </w:r>
      <w:r w:rsidR="005215CB">
        <w:t xml:space="preserve">that is held by </w:t>
      </w:r>
      <w:r w:rsidR="005215CB" w:rsidRPr="00B75C4E">
        <w:t>former shareholders of the domestic corporation by reason of holding stock in the domestic corporation</w:t>
      </w:r>
      <w:r w:rsidR="007347D9">
        <w:t xml:space="preserve"> (the </w:t>
      </w:r>
      <w:r w:rsidR="00BC07AE">
        <w:t>“</w:t>
      </w:r>
      <w:r w:rsidR="007347D9">
        <w:t>Domestic Shareholders</w:t>
      </w:r>
      <w:r w:rsidR="006B3F4C">
        <w:t>’</w:t>
      </w:r>
      <w:r w:rsidR="007347D9">
        <w:t xml:space="preserve"> by</w:t>
      </w:r>
      <w:r w:rsidR="00D55676">
        <w:t>-</w:t>
      </w:r>
      <w:r w:rsidR="007347D9">
        <w:t>Reason</w:t>
      </w:r>
      <w:r w:rsidR="00D55676">
        <w:t>-</w:t>
      </w:r>
      <w:r w:rsidR="007347D9">
        <w:t>of</w:t>
      </w:r>
      <w:r w:rsidR="00D55676">
        <w:t>-</w:t>
      </w:r>
      <w:r w:rsidR="007347D9">
        <w:t>Stock</w:t>
      </w:r>
      <w:r w:rsidR="00BC07AE">
        <w:t>”</w:t>
      </w:r>
      <w:r w:rsidR="007347D9">
        <w:t>)</w:t>
      </w:r>
      <w:r w:rsidR="00391C6B">
        <w:t xml:space="preserve">.  The </w:t>
      </w:r>
      <w:r w:rsidR="00B75C4E" w:rsidRPr="00B75C4E">
        <w:t xml:space="preserve">fraction used to calculate the </w:t>
      </w:r>
      <w:r w:rsidR="00BC07AE" w:rsidRPr="00B75C4E">
        <w:t>Ownership Percentage</w:t>
      </w:r>
      <w:r w:rsidR="00B75C4E" w:rsidRPr="00B75C4E">
        <w:t xml:space="preserve"> is referred to at times</w:t>
      </w:r>
      <w:r w:rsidR="006C3906">
        <w:t xml:space="preserve"> </w:t>
      </w:r>
      <w:r w:rsidR="00B75C4E" w:rsidRPr="00B75C4E">
        <w:t>as the “</w:t>
      </w:r>
      <w:r w:rsidR="00BC07AE" w:rsidRPr="00B75C4E">
        <w:t>Ownership Fraction</w:t>
      </w:r>
      <w:r w:rsidR="006C3906">
        <w:t>.</w:t>
      </w:r>
      <w:r w:rsidR="00B75C4E" w:rsidRPr="00B75C4E">
        <w:t>”</w:t>
      </w:r>
      <w:r w:rsidR="007347D9">
        <w:t xml:space="preserve">  </w:t>
      </w:r>
    </w:p>
    <w:p w:rsidR="00D55676" w:rsidRDefault="00D55676" w:rsidP="00B75C4E"/>
    <w:p w:rsidR="008C3A41" w:rsidRDefault="007347D9" w:rsidP="00B75C4E">
      <w:r>
        <w:t xml:space="preserve">The numerator of the </w:t>
      </w:r>
      <w:r w:rsidR="00BC07AE">
        <w:t xml:space="preserve">Ownership Fraction </w:t>
      </w:r>
      <w:r w:rsidR="00AD75B6">
        <w:t xml:space="preserve">is </w:t>
      </w:r>
      <w:r>
        <w:t xml:space="preserve">the </w:t>
      </w:r>
      <w:r w:rsidR="00AD75B6">
        <w:t>Domestic Shareholders</w:t>
      </w:r>
      <w:r w:rsidR="006B3F4C">
        <w:t>’</w:t>
      </w:r>
      <w:r w:rsidR="00AD75B6">
        <w:t xml:space="preserve"> by</w:t>
      </w:r>
      <w:r w:rsidR="00D55676">
        <w:t>-</w:t>
      </w:r>
      <w:r w:rsidR="00AD75B6">
        <w:t>Reason</w:t>
      </w:r>
      <w:r w:rsidR="00D55676">
        <w:t>-</w:t>
      </w:r>
      <w:r w:rsidR="00AD75B6">
        <w:t>of</w:t>
      </w:r>
      <w:r w:rsidR="00D55676">
        <w:t>-</w:t>
      </w:r>
      <w:r w:rsidR="00AD75B6">
        <w:t>Stock</w:t>
      </w:r>
      <w:r w:rsidR="006B3F4C">
        <w:t xml:space="preserve"> in the foreign acquiring corporation</w:t>
      </w:r>
      <w:r w:rsidR="00AD75B6">
        <w:t xml:space="preserve">, and the denominator is all of the outstanding stock of the </w:t>
      </w:r>
      <w:r w:rsidR="00601C1E">
        <w:t>foreign acquiring corporation.</w:t>
      </w:r>
      <w:r w:rsidR="00AD75B6">
        <w:t xml:space="preserve"> </w:t>
      </w:r>
      <w:r w:rsidR="006C3906">
        <w:t xml:space="preserve">  Thus, for example, </w:t>
      </w:r>
    </w:p>
    <w:p w:rsidR="008C3A41" w:rsidRDefault="008C3A41" w:rsidP="00B75C4E"/>
    <w:p w:rsidR="008C3A41" w:rsidRDefault="006C3906" w:rsidP="00DD54AA">
      <w:pPr>
        <w:pStyle w:val="ListParagraph"/>
        <w:numPr>
          <w:ilvl w:val="0"/>
          <w:numId w:val="4"/>
        </w:numPr>
      </w:pPr>
      <w:r>
        <w:t xml:space="preserve">if the </w:t>
      </w:r>
      <w:r w:rsidR="00601C1E">
        <w:t xml:space="preserve">Ownership Percentage </w:t>
      </w:r>
      <w:r>
        <w:t>is 80% or more</w:t>
      </w:r>
      <w:r w:rsidR="000F62A5">
        <w:t>,</w:t>
      </w:r>
      <w:r>
        <w:t xml:space="preserve"> the foreign acquiring corporation is treated as a domestic corporation</w:t>
      </w:r>
      <w:r w:rsidR="002C408B">
        <w:t xml:space="preserve"> under </w:t>
      </w:r>
      <w:r w:rsidR="000F192E">
        <w:t>Section</w:t>
      </w:r>
      <w:r w:rsidR="002C408B">
        <w:t xml:space="preserve"> 7874</w:t>
      </w:r>
      <w:r w:rsidR="00AF56C3">
        <w:t>(b)</w:t>
      </w:r>
      <w:r w:rsidR="00601C1E">
        <w:t xml:space="preserve">; </w:t>
      </w:r>
    </w:p>
    <w:p w:rsidR="001E27C0" w:rsidRDefault="006C3906" w:rsidP="00DD54AA">
      <w:pPr>
        <w:pStyle w:val="ListParagraph"/>
        <w:numPr>
          <w:ilvl w:val="0"/>
          <w:numId w:val="4"/>
        </w:numPr>
      </w:pPr>
      <w:r>
        <w:t xml:space="preserve">if the </w:t>
      </w:r>
      <w:r w:rsidR="00601C1E">
        <w:t xml:space="preserve">Ownership Percentage </w:t>
      </w:r>
      <w:r>
        <w:t xml:space="preserve">is </w:t>
      </w:r>
      <w:r w:rsidR="00DF5C25">
        <w:t xml:space="preserve">at least </w:t>
      </w:r>
      <w:r>
        <w:t xml:space="preserve">60% and </w:t>
      </w:r>
      <w:r w:rsidR="00DF5C25">
        <w:t xml:space="preserve">less than </w:t>
      </w:r>
      <w:r w:rsidR="000A3EDE">
        <w:t>80%,</w:t>
      </w:r>
      <w:r w:rsidR="00DF5C25">
        <w:t xml:space="preserve"> then</w:t>
      </w:r>
      <w:r w:rsidR="000A3EDE">
        <w:t xml:space="preserve"> </w:t>
      </w:r>
      <w:r w:rsidR="00AF56C3">
        <w:t xml:space="preserve">(a) </w:t>
      </w:r>
      <w:r w:rsidR="000A3EDE">
        <w:t xml:space="preserve">the </w:t>
      </w:r>
      <w:r w:rsidR="000A478A">
        <w:t xml:space="preserve">Inversion Gain Rule </w:t>
      </w:r>
      <w:r w:rsidR="002C408B">
        <w:t xml:space="preserve">under </w:t>
      </w:r>
      <w:r w:rsidR="000F192E">
        <w:t>Section</w:t>
      </w:r>
      <w:r w:rsidR="002C408B">
        <w:t xml:space="preserve"> 7874</w:t>
      </w:r>
      <w:r w:rsidR="00B75990">
        <w:t>(a)</w:t>
      </w:r>
      <w:r w:rsidR="000A3EDE">
        <w:t xml:space="preserve"> applies</w:t>
      </w:r>
      <w:r w:rsidR="00B75990">
        <w:t>,</w:t>
      </w:r>
      <w:r w:rsidR="000A478A">
        <w:t xml:space="preserve"> which subjects certain transactions to tax without regard to the availability of net operating losses and credits</w:t>
      </w:r>
      <w:r w:rsidR="00F66042">
        <w:t xml:space="preserve">, and </w:t>
      </w:r>
      <w:r w:rsidR="00AF56C3">
        <w:t xml:space="preserve">(b) </w:t>
      </w:r>
      <w:r w:rsidR="00F66042">
        <w:t xml:space="preserve">the </w:t>
      </w:r>
      <w:r w:rsidR="004D1812">
        <w:t>A</w:t>
      </w:r>
      <w:r w:rsidR="00F66042">
        <w:t>nti-Hop Scotch Loan Rule, discussed below, applies</w:t>
      </w:r>
      <w:r w:rsidR="00601C1E">
        <w:t xml:space="preserve">; </w:t>
      </w:r>
    </w:p>
    <w:p w:rsidR="001E27C0" w:rsidRDefault="000F62A5" w:rsidP="00DD54AA">
      <w:pPr>
        <w:pStyle w:val="ListParagraph"/>
        <w:numPr>
          <w:ilvl w:val="0"/>
          <w:numId w:val="4"/>
        </w:numPr>
      </w:pPr>
      <w:r>
        <w:t>if the Ownership Percentag</w:t>
      </w:r>
      <w:r w:rsidR="00F65AFB">
        <w:t xml:space="preserve">e is more than 50% but less but less than 80% the </w:t>
      </w:r>
      <w:r w:rsidR="000F192E">
        <w:t>Section</w:t>
      </w:r>
      <w:r w:rsidR="00F65AFB">
        <w:t xml:space="preserve"> 367(a) </w:t>
      </w:r>
      <w:r w:rsidR="00375137">
        <w:t>Gain Recognition Rule</w:t>
      </w:r>
      <w:r w:rsidR="008C3A41">
        <w:t xml:space="preserve">, which requires the shareholders of the domestic corporation to recognize gain but not loss, </w:t>
      </w:r>
      <w:r w:rsidR="00F65AFB">
        <w:t xml:space="preserve">applies; and </w:t>
      </w:r>
    </w:p>
    <w:p w:rsidR="009F23F8" w:rsidRDefault="00F65AFB" w:rsidP="00DD54AA">
      <w:pPr>
        <w:pStyle w:val="ListParagraph"/>
        <w:numPr>
          <w:ilvl w:val="0"/>
          <w:numId w:val="4"/>
        </w:numPr>
      </w:pPr>
      <w:proofErr w:type="gramStart"/>
      <w:r>
        <w:t>if</w:t>
      </w:r>
      <w:proofErr w:type="gramEnd"/>
      <w:r>
        <w:t xml:space="preserve"> the Ownership Percentage is 50% or less</w:t>
      </w:r>
      <w:r w:rsidR="001E27C0">
        <w:t>,</w:t>
      </w:r>
      <w:r w:rsidR="002C408B">
        <w:t xml:space="preserve"> </w:t>
      </w:r>
      <w:r w:rsidR="002D6953">
        <w:t xml:space="preserve">none of the </w:t>
      </w:r>
      <w:r w:rsidR="004C4DA7">
        <w:t xml:space="preserve">above rules applies.  </w:t>
      </w:r>
      <w:r w:rsidR="00375137">
        <w:t xml:space="preserve"> </w:t>
      </w:r>
    </w:p>
    <w:p w:rsidR="009F23F8" w:rsidRDefault="009F23F8" w:rsidP="00B75C4E"/>
    <w:p w:rsidR="002D005A" w:rsidRPr="00B75C4E" w:rsidRDefault="009F23F8" w:rsidP="00B75C4E">
      <w:r>
        <w:t xml:space="preserve">Thus, in order to receive </w:t>
      </w:r>
      <w:r w:rsidR="00F905F7">
        <w:t xml:space="preserve">any </w:t>
      </w:r>
      <w:r>
        <w:t>benefit</w:t>
      </w:r>
      <w:r w:rsidR="00F905F7">
        <w:t xml:space="preserve"> from an </w:t>
      </w:r>
      <w:r>
        <w:t>inversion, the Ownership</w:t>
      </w:r>
      <w:r w:rsidR="00693151">
        <w:t xml:space="preserve"> Percentage must be less than 80%</w:t>
      </w:r>
      <w:r w:rsidR="00F905F7">
        <w:t>,</w:t>
      </w:r>
      <w:r w:rsidR="00693151">
        <w:t xml:space="preserve"> because otherwise the foreign acquiring corporation is </w:t>
      </w:r>
      <w:r w:rsidR="004D1812">
        <w:t xml:space="preserve">treated as </w:t>
      </w:r>
      <w:r w:rsidR="00693151">
        <w:t>a domestic corporation.</w:t>
      </w:r>
      <w:r w:rsidR="00F905F7">
        <w:t xml:space="preserve">  And, in order to avoid the </w:t>
      </w:r>
      <w:r w:rsidR="004D1812">
        <w:t xml:space="preserve">Inversion Gain Rule </w:t>
      </w:r>
      <w:r w:rsidR="00017DE6">
        <w:t xml:space="preserve">and the </w:t>
      </w:r>
      <w:r w:rsidR="004D1812">
        <w:t>A</w:t>
      </w:r>
      <w:r w:rsidR="00017DE6">
        <w:t xml:space="preserve">nti-Hop Scotch Loan Rule, </w:t>
      </w:r>
      <w:r w:rsidR="00F905F7">
        <w:t>the Ownership Percentage must be less than 60%.</w:t>
      </w:r>
      <w:r w:rsidR="00EA6C20">
        <w:t xml:space="preserve">  </w:t>
      </w:r>
      <w:r w:rsidR="008D2B94">
        <w:t xml:space="preserve">And, to avoid the </w:t>
      </w:r>
      <w:r w:rsidR="000F192E">
        <w:t>Section</w:t>
      </w:r>
      <w:r w:rsidR="008D2B94">
        <w:t xml:space="preserve"> 367(a</w:t>
      </w:r>
      <w:r w:rsidR="00EA6C20">
        <w:t>) Gain Recognition Rule</w:t>
      </w:r>
      <w:r w:rsidR="008D2B94">
        <w:t>, the Ownership Percentage must be not more than 50%.</w:t>
      </w:r>
      <w:r w:rsidR="00EA6C20">
        <w:t xml:space="preserve"> </w:t>
      </w:r>
      <w:r w:rsidR="00F905F7">
        <w:t xml:space="preserve">  </w:t>
      </w:r>
      <w:r w:rsidR="000A3EDE">
        <w:t xml:space="preserve">  </w:t>
      </w:r>
      <w:r w:rsidR="006C3906">
        <w:t xml:space="preserve"> </w:t>
      </w:r>
      <w:r w:rsidR="00BF1613" w:rsidRPr="00B75C4E">
        <w:t xml:space="preserve">  </w:t>
      </w:r>
    </w:p>
    <w:p w:rsidR="002D005A" w:rsidRDefault="002D005A"/>
    <w:p w:rsidR="00AD730B" w:rsidRDefault="00E053C0">
      <w:r>
        <w:t xml:space="preserve">Since these Ownership Percentage rules are dependent on the relative sizes of the </w:t>
      </w:r>
      <w:r w:rsidR="00EA6E66">
        <w:t>domestic corporation and the foreign acquiring corporation</w:t>
      </w:r>
      <w:r w:rsidR="00F04F8F">
        <w:t xml:space="preserve"> and its foreign subs</w:t>
      </w:r>
      <w:r w:rsidR="00EA6E66">
        <w:t xml:space="preserve">, it can be expected that companies contemplating an inversion will take measures before the inversion to get the domestic corporation and the foreign acquiring corporation </w:t>
      </w:r>
      <w:r w:rsidR="00F04F8F">
        <w:t xml:space="preserve">in the “right relative </w:t>
      </w:r>
      <w:r w:rsidR="00EA6E66">
        <w:t>size.”</w:t>
      </w:r>
      <w:r w:rsidR="00F04F8F">
        <w:t xml:space="preserve">  This type of </w:t>
      </w:r>
      <w:r w:rsidR="00B24929">
        <w:t>“</w:t>
      </w:r>
      <w:r w:rsidR="00F04F8F">
        <w:t>right sizing</w:t>
      </w:r>
      <w:r w:rsidR="00B24929">
        <w:t>”</w:t>
      </w:r>
      <w:r w:rsidR="00F04F8F">
        <w:t xml:space="preserve"> will normally involve either (1) reducing the size of the domestic corporation</w:t>
      </w:r>
      <w:r w:rsidR="007068F9">
        <w:t xml:space="preserve"> (</w:t>
      </w:r>
      <w:r w:rsidR="007068F9" w:rsidRPr="007068F9">
        <w:rPr>
          <w:i/>
        </w:rPr>
        <w:t>i.e.,</w:t>
      </w:r>
      <w:r w:rsidR="007068F9">
        <w:t xml:space="preserve"> slimming down the domestic corporation)</w:t>
      </w:r>
      <w:r w:rsidR="00F04F8F">
        <w:t>, or (</w:t>
      </w:r>
      <w:r w:rsidR="004C7096">
        <w:t>2</w:t>
      </w:r>
      <w:r w:rsidR="00F04F8F">
        <w:t>) increasing the size of the foreign corporation</w:t>
      </w:r>
      <w:r w:rsidR="00D70922">
        <w:t xml:space="preserve"> (</w:t>
      </w:r>
      <w:r w:rsidR="00D70922" w:rsidRPr="00DB0763">
        <w:rPr>
          <w:i/>
        </w:rPr>
        <w:t>i.e.,</w:t>
      </w:r>
      <w:r w:rsidR="00D70922">
        <w:t xml:space="preserve"> bulking up the foreign acquiring corporation)</w:t>
      </w:r>
      <w:r w:rsidR="00F04F8F">
        <w:t>.</w:t>
      </w:r>
      <w:r w:rsidR="004B4447">
        <w:t xml:space="preserve">  Many aspects of both the 2014 and 2015 Inversion Notices address this right sizing issue, and the 2016 Temporary Regulations also address the issue.  As noted below, one surprising</w:t>
      </w:r>
      <w:r w:rsidR="00FF57BA">
        <w:t xml:space="preserve"> “right sizing”</w:t>
      </w:r>
      <w:r w:rsidR="004B4447">
        <w:t xml:space="preserve"> aspect of the 2016 Temporary Regulations caused Pfizer to abandon its inversion with Ireland’s Allergan, just two days after the issuance of these regulations.</w:t>
      </w:r>
    </w:p>
    <w:p w:rsidR="00AD730B" w:rsidRDefault="00AD730B"/>
    <w:p w:rsidR="002D005A" w:rsidRDefault="00AD730B">
      <w:r>
        <w:t xml:space="preserve">Although the regulations deal with acquisitions of both corporations and partnerships, this </w:t>
      </w:r>
      <w:r w:rsidR="000F192E">
        <w:t>Section</w:t>
      </w:r>
      <w:r>
        <w:t xml:space="preserve"> focuses only on inversions involving the acquisition of domestic corporations.  </w:t>
      </w:r>
      <w:r w:rsidR="004B4447">
        <w:t xml:space="preserve">  </w:t>
      </w:r>
      <w:r w:rsidR="00F04F8F">
        <w:t xml:space="preserve">  </w:t>
      </w:r>
      <w:r w:rsidR="00EA6E66">
        <w:t xml:space="preserve">  </w:t>
      </w:r>
    </w:p>
    <w:p w:rsidR="00B34C4A" w:rsidRDefault="002A0D09" w:rsidP="00B34C4A">
      <w:pPr>
        <w:pStyle w:val="Heading2"/>
      </w:pPr>
      <w:bookmarkStart w:id="65" w:name="_Toc449441984"/>
      <w:r w:rsidRPr="00597162">
        <w:t>MULTIPLE-STEP ACQUISITION OF PROPERTY OF A DOMESTIC ENTITY</w:t>
      </w:r>
      <w:r>
        <w:t>, § 1.7874-2T(c</w:t>
      </w:r>
      <w:proofErr w:type="gramStart"/>
      <w:r>
        <w:t>)</w:t>
      </w:r>
      <w:r w:rsidR="00BC38BE">
        <w:t>(</w:t>
      </w:r>
      <w:proofErr w:type="gramEnd"/>
      <w:r w:rsidR="00BC38BE">
        <w:t>4)</w:t>
      </w:r>
      <w:bookmarkEnd w:id="65"/>
    </w:p>
    <w:p w:rsidR="00BC38BE" w:rsidRPr="007E6229" w:rsidRDefault="00BC38BE" w:rsidP="00BC38BE">
      <w:r>
        <w:t xml:space="preserve">The preamble of the 2016 General Inversion </w:t>
      </w:r>
      <w:proofErr w:type="spellStart"/>
      <w:r>
        <w:t>Regs</w:t>
      </w:r>
      <w:proofErr w:type="spellEnd"/>
      <w:r>
        <w:t xml:space="preserve"> provides the following background</w:t>
      </w:r>
      <w:r w:rsidR="008251A8">
        <w:t xml:space="preserve"> on </w:t>
      </w:r>
      <w:r w:rsidR="006A269A">
        <w:t xml:space="preserve">direct and indirect acquisitions of a domestic entity: </w:t>
      </w:r>
    </w:p>
    <w:p w:rsidR="00BC38BE" w:rsidRPr="00BC38BE" w:rsidRDefault="00BC38BE" w:rsidP="00BC38BE"/>
    <w:p w:rsidR="00BF70FE" w:rsidRDefault="00B34C4A" w:rsidP="00BF70FE">
      <w:pPr>
        <w:ind w:left="720"/>
      </w:pPr>
      <w:r w:rsidRPr="00597162">
        <w:t>Section 1.7874-2(c) provides guidance on the types of transactions that</w:t>
      </w:r>
      <w:r>
        <w:t xml:space="preserve"> </w:t>
      </w:r>
      <w:r w:rsidRPr="00597162">
        <w:t>constitute a direct or indirect acquisition by a foreign corporation of properties held</w:t>
      </w:r>
      <w:r>
        <w:t xml:space="preserve"> </w:t>
      </w:r>
      <w:r w:rsidRPr="00597162">
        <w:t>directly or indirectly by a domestic entity and that therefore potentially result in a</w:t>
      </w:r>
      <w:r>
        <w:t xml:space="preserve"> </w:t>
      </w:r>
      <w:r w:rsidRPr="00597162">
        <w:t xml:space="preserve">domestic entity acquisition. </w:t>
      </w:r>
      <w:r w:rsidRPr="00597162">
        <w:lastRenderedPageBreak/>
        <w:t>Section 1.7874-2(c</w:t>
      </w:r>
      <w:proofErr w:type="gramStart"/>
      <w:r w:rsidRPr="00597162">
        <w:t>)(</w:t>
      </w:r>
      <w:proofErr w:type="gramEnd"/>
      <w:r w:rsidRPr="00597162">
        <w:t>1) sets forth a non-exclusive list of the</w:t>
      </w:r>
      <w:r>
        <w:t xml:space="preserve"> </w:t>
      </w:r>
      <w:r w:rsidRPr="00597162">
        <w:t>types of transactions that generally result in an indirect acquisition of properties of a</w:t>
      </w:r>
      <w:r>
        <w:t xml:space="preserve"> </w:t>
      </w:r>
      <w:r w:rsidRPr="00597162">
        <w:t>domestic entity.</w:t>
      </w:r>
      <w:r w:rsidR="00BF70FE">
        <w:rPr>
          <w:rStyle w:val="FootnoteReference"/>
        </w:rPr>
        <w:footnoteReference w:id="5"/>
      </w:r>
      <w:r w:rsidRPr="00597162">
        <w:t xml:space="preserve"> </w:t>
      </w:r>
    </w:p>
    <w:p w:rsidR="00BF70FE" w:rsidRDefault="00BF70FE" w:rsidP="00B34C4A"/>
    <w:p w:rsidR="003C6D54" w:rsidRDefault="003C6D54" w:rsidP="00B34C4A">
      <w:r>
        <w:t xml:space="preserve">The preamble then points out as follows that an acquisition by a foreign corporation of a foreign corporation that owns a U.S. corporation is not subject to Section 7874: </w:t>
      </w:r>
    </w:p>
    <w:p w:rsidR="00BF70FE" w:rsidRDefault="003C6D54" w:rsidP="00B34C4A">
      <w:r>
        <w:t xml:space="preserve"> </w:t>
      </w:r>
    </w:p>
    <w:p w:rsidR="00B34C4A" w:rsidRPr="00597162" w:rsidRDefault="00BF70FE" w:rsidP="00B7206B">
      <w:pPr>
        <w:ind w:left="720"/>
      </w:pPr>
      <w:r>
        <w:t>[S]</w:t>
      </w:r>
      <w:proofErr w:type="spellStart"/>
      <w:r>
        <w:t>ection</w:t>
      </w:r>
      <w:proofErr w:type="spellEnd"/>
      <w:r>
        <w:t xml:space="preserve"> </w:t>
      </w:r>
      <w:r w:rsidRPr="00597162">
        <w:t>1.7874-2(c</w:t>
      </w:r>
      <w:proofErr w:type="gramStart"/>
      <w:r w:rsidRPr="00597162">
        <w:t>)(</w:t>
      </w:r>
      <w:proofErr w:type="gramEnd"/>
      <w:r w:rsidRPr="00597162">
        <w:t>2) provides that when a foreign corporation</w:t>
      </w:r>
      <w:r>
        <w:t xml:space="preserve"> </w:t>
      </w:r>
      <w:r w:rsidRPr="00597162">
        <w:t>acquires stock of another foreign corporation, which, in turn, directly or indirectly owns</w:t>
      </w:r>
      <w:r>
        <w:t xml:space="preserve"> </w:t>
      </w:r>
      <w:r w:rsidRPr="00597162">
        <w:t xml:space="preserve">stock </w:t>
      </w:r>
      <w:r>
        <w:t xml:space="preserve">. . . </w:t>
      </w:r>
      <w:r w:rsidRPr="00597162">
        <w:t>in a domestic entity, the acquisition by the foreign</w:t>
      </w:r>
      <w:r>
        <w:t xml:space="preserve"> </w:t>
      </w:r>
      <w:r w:rsidRPr="00597162">
        <w:t>corporation does not constitute an indirect acquisition of any</w:t>
      </w:r>
      <w:r w:rsidR="00B7206B">
        <w:t xml:space="preserve"> </w:t>
      </w:r>
      <w:r w:rsidR="00B34C4A" w:rsidRPr="00597162">
        <w:t>properties held by the</w:t>
      </w:r>
      <w:r w:rsidR="00B34C4A">
        <w:t xml:space="preserve"> </w:t>
      </w:r>
      <w:r w:rsidR="00B34C4A" w:rsidRPr="00597162">
        <w:t>domestic entity. Absent §1.7874-2(c</w:t>
      </w:r>
      <w:proofErr w:type="gramStart"/>
      <w:r w:rsidR="00B34C4A" w:rsidRPr="00597162">
        <w:t>)(</w:t>
      </w:r>
      <w:proofErr w:type="gramEnd"/>
      <w:r w:rsidR="00B34C4A" w:rsidRPr="00597162">
        <w:t>2), the foreign corporation’s acquisition of the</w:t>
      </w:r>
      <w:r w:rsidR="00B34C4A">
        <w:t xml:space="preserve"> </w:t>
      </w:r>
      <w:r w:rsidR="00B34C4A" w:rsidRPr="00597162">
        <w:t>stock of the other foreign corporation would be an indirect acquisition of properties of</w:t>
      </w:r>
      <w:r w:rsidR="00B34C4A">
        <w:t xml:space="preserve"> </w:t>
      </w:r>
      <w:r w:rsidR="00B34C4A" w:rsidRPr="00597162">
        <w:t>the domestic entity. However, because the domestic entity had a foreign parent before</w:t>
      </w:r>
      <w:r w:rsidR="00B34C4A">
        <w:t xml:space="preserve"> </w:t>
      </w:r>
      <w:r w:rsidR="00B34C4A" w:rsidRPr="00597162">
        <w:t>the acquisition, these types of transactions typically do not give rise to the policy</w:t>
      </w:r>
      <w:r w:rsidR="00B34C4A">
        <w:t xml:space="preserve"> </w:t>
      </w:r>
      <w:r w:rsidR="00B34C4A" w:rsidRPr="00597162">
        <w:t>concerns that motivated Congress to enact section 7874, and therefore they generally</w:t>
      </w:r>
      <w:r w:rsidR="00B34C4A">
        <w:t xml:space="preserve"> </w:t>
      </w:r>
      <w:r w:rsidR="00B34C4A" w:rsidRPr="00597162">
        <w:t>are not treated as indirect acquisitions of properties of a domestic entity. This rule does</w:t>
      </w:r>
      <w:r w:rsidR="00B34C4A">
        <w:t xml:space="preserve"> </w:t>
      </w:r>
      <w:r w:rsidR="00B34C4A" w:rsidRPr="00597162">
        <w:t>not, however, address multiple related acquisitions of the properties of a domestic</w:t>
      </w:r>
      <w:r w:rsidR="00B34C4A">
        <w:t xml:space="preserve"> </w:t>
      </w:r>
      <w:r w:rsidR="00B34C4A" w:rsidRPr="00597162">
        <w:t>entity.</w:t>
      </w:r>
      <w:r w:rsidR="00AE150C">
        <w:rPr>
          <w:rStyle w:val="FootnoteReference"/>
        </w:rPr>
        <w:footnoteReference w:id="6"/>
      </w:r>
    </w:p>
    <w:p w:rsidR="00B34C4A" w:rsidRDefault="00B34C4A" w:rsidP="00B34C4A"/>
    <w:p w:rsidR="00AE150C" w:rsidRDefault="00AE150C" w:rsidP="00B34C4A">
      <w:r>
        <w:t xml:space="preserve">The preamble then </w:t>
      </w:r>
      <w:r w:rsidR="00367D41">
        <w:t xml:space="preserve">expressed concern with the following </w:t>
      </w:r>
      <w:r w:rsidR="00B41A8C">
        <w:t>multiple related acquisitions</w:t>
      </w:r>
      <w:r w:rsidR="006B5AA9">
        <w:t xml:space="preserve">:  </w:t>
      </w:r>
      <w:r w:rsidR="005C3124">
        <w:t xml:space="preserve">pursuant to a plan, </w:t>
      </w:r>
      <w:r w:rsidR="004B5E40">
        <w:t>a</w:t>
      </w:r>
      <w:r w:rsidR="00C47067">
        <w:t xml:space="preserve"> foreign</w:t>
      </w:r>
      <w:r w:rsidR="00186A6E">
        <w:t xml:space="preserve"> “</w:t>
      </w:r>
      <w:r w:rsidR="00186A6E" w:rsidRPr="00451DE1">
        <w:t>initial acquiring</w:t>
      </w:r>
      <w:r w:rsidR="00186A6E">
        <w:t xml:space="preserve"> corporation” first makes an acquisition of a domestic corporation and that transaction is followed by an acquisition of the initial acquiring corporation by</w:t>
      </w:r>
      <w:r w:rsidR="00367D41">
        <w:t xml:space="preserve"> a</w:t>
      </w:r>
      <w:r w:rsidR="00C47067">
        <w:t xml:space="preserve"> foreign</w:t>
      </w:r>
      <w:r w:rsidR="00367D41">
        <w:t xml:space="preserve"> </w:t>
      </w:r>
      <w:r w:rsidR="00C47067">
        <w:t>“subsequent acquiring</w:t>
      </w:r>
      <w:r w:rsidR="004B5E40">
        <w:t xml:space="preserve"> corporation</w:t>
      </w:r>
      <w:r w:rsidR="006B5AA9">
        <w:t>.  The preamble elaborates as follows</w:t>
      </w:r>
      <w:r w:rsidR="00B41A8C">
        <w:t xml:space="preserve">: </w:t>
      </w:r>
    </w:p>
    <w:p w:rsidR="00B41A8C" w:rsidRDefault="00B41A8C" w:rsidP="00B34C4A"/>
    <w:p w:rsidR="00B34C4A" w:rsidRDefault="00B34C4A" w:rsidP="004F7E1A">
      <w:pPr>
        <w:ind w:left="720"/>
      </w:pPr>
      <w:r w:rsidRPr="00597162">
        <w:t>The Treasury Department and the IRS are concerned that taxpayers may take the</w:t>
      </w:r>
      <w:r>
        <w:t xml:space="preserve"> </w:t>
      </w:r>
      <w:r w:rsidRPr="00597162">
        <w:t>position that certain transactions are not domestic entity acquisitions even though the</w:t>
      </w:r>
      <w:r>
        <w:t xml:space="preserve"> </w:t>
      </w:r>
      <w:r w:rsidRPr="00597162">
        <w:t>transactions give rise to the policy concerns that motivated Congress to enact section</w:t>
      </w:r>
      <w:r>
        <w:t xml:space="preserve"> </w:t>
      </w:r>
      <w:r w:rsidRPr="00597162">
        <w:t>7874. This could occur, for example, when a foreign corporation (initial acquiring</w:t>
      </w:r>
      <w:r>
        <w:t xml:space="preserve"> </w:t>
      </w:r>
      <w:r w:rsidRPr="00597162">
        <w:t>corporation) acquires substantially all of the properties held by a domestic entity (the</w:t>
      </w:r>
      <w:r>
        <w:t xml:space="preserve"> </w:t>
      </w:r>
      <w:r w:rsidRPr="00597162">
        <w:t>initial acquisition) in a transaction that does not result in the initial acquiring corporation</w:t>
      </w:r>
      <w:r>
        <w:t xml:space="preserve"> </w:t>
      </w:r>
      <w:r w:rsidRPr="00597162">
        <w:t>being treated as a domestic corporation under section 7874(b) (for example, because</w:t>
      </w:r>
      <w:r>
        <w:t xml:space="preserve"> </w:t>
      </w:r>
      <w:r w:rsidRPr="00597162">
        <w:t>the ownership percentage is less than 80 or because the EAG purports to meet the</w:t>
      </w:r>
      <w:r>
        <w:t xml:space="preserve"> </w:t>
      </w:r>
      <w:r w:rsidRPr="00597162">
        <w:t>substantial business activities exception in §1.7874-3), and, pursuant to a plan that</w:t>
      </w:r>
      <w:r>
        <w:t xml:space="preserve"> </w:t>
      </w:r>
      <w:r w:rsidRPr="00597162">
        <w:t>includes the initial acquisition (or a series of related transactions), another foreign</w:t>
      </w:r>
      <w:r>
        <w:t xml:space="preserve"> </w:t>
      </w:r>
      <w:r w:rsidRPr="00597162">
        <w:t>corporation (subsequent acquiring corporation) acquires substantially all of the</w:t>
      </w:r>
      <w:r>
        <w:t xml:space="preserve"> </w:t>
      </w:r>
      <w:r w:rsidRPr="00597162">
        <w:t>properties of the initial acquiring corporation (the subsequent acquisition). In these</w:t>
      </w:r>
      <w:r>
        <w:t xml:space="preserve"> </w:t>
      </w:r>
      <w:r w:rsidRPr="00597162">
        <w:t>cases, a taxpayer may take the position that the form of the transactions is respected</w:t>
      </w:r>
      <w:r>
        <w:t xml:space="preserve"> </w:t>
      </w:r>
      <w:r w:rsidRPr="00597162">
        <w:t>for U.S. federal income tax purposes and that §1.7874-2(c</w:t>
      </w:r>
      <w:proofErr w:type="gramStart"/>
      <w:r w:rsidRPr="00597162">
        <w:t>)(</w:t>
      </w:r>
      <w:proofErr w:type="gramEnd"/>
      <w:r w:rsidRPr="00597162">
        <w:t>2) prevents the subsequent</w:t>
      </w:r>
      <w:r>
        <w:t xml:space="preserve"> </w:t>
      </w:r>
      <w:r w:rsidRPr="00597162">
        <w:t>acquiring corporation from being considered to have indirectly acquired the properties of</w:t>
      </w:r>
      <w:r>
        <w:t xml:space="preserve"> </w:t>
      </w:r>
      <w:r w:rsidRPr="00597162">
        <w:t>the domestic entity pursuant to the subsequent acquisition. Under this position,</w:t>
      </w:r>
      <w:r>
        <w:t xml:space="preserve"> </w:t>
      </w:r>
      <w:r w:rsidRPr="00597162">
        <w:t>although the initial acquisition would be a domestic entity acquisition and the initial</w:t>
      </w:r>
      <w:r>
        <w:t xml:space="preserve"> </w:t>
      </w:r>
      <w:r w:rsidRPr="00597162">
        <w:t>acquiring corporation would be a foreign acquiring corporation, the subsequent</w:t>
      </w:r>
      <w:r>
        <w:t xml:space="preserve"> </w:t>
      </w:r>
      <w:r w:rsidRPr="00597162">
        <w:t>acquisition would not be a domestic entity acquisition, and the subsequent acquiring</w:t>
      </w:r>
      <w:r>
        <w:t xml:space="preserve"> </w:t>
      </w:r>
      <w:r w:rsidRPr="00597162">
        <w:t>corporation would not be a foreign acquiring corporation. Moreover, for purposes of</w:t>
      </w:r>
      <w:r>
        <w:t xml:space="preserve"> </w:t>
      </w:r>
      <w:r w:rsidRPr="00597162">
        <w:t>computing the ownership percentage, a taxpayer may assert that former domestic entity</w:t>
      </w:r>
      <w:r>
        <w:t xml:space="preserve"> </w:t>
      </w:r>
      <w:r w:rsidRPr="00597162">
        <w:t xml:space="preserve">shareholders do not hold stock of the subsequent </w:t>
      </w:r>
      <w:r w:rsidRPr="00597162">
        <w:lastRenderedPageBreak/>
        <w:t>acquiring corporation by reason of</w:t>
      </w:r>
      <w:r>
        <w:t xml:space="preserve"> </w:t>
      </w:r>
      <w:r w:rsidRPr="001C3B9A">
        <w:t>holding stock in the domestic entity and, instead, hold stock of the subsequent acquiring</w:t>
      </w:r>
      <w:r>
        <w:t xml:space="preserve"> </w:t>
      </w:r>
      <w:r w:rsidRPr="001C3B9A">
        <w:t>corporation only by reason of holding stock in the initial acquiring corporation.</w:t>
      </w:r>
    </w:p>
    <w:p w:rsidR="00B34C4A" w:rsidRPr="001C3B9A" w:rsidRDefault="00B34C4A" w:rsidP="00B34C4A"/>
    <w:p w:rsidR="00B34C4A" w:rsidRPr="001C3B9A" w:rsidRDefault="00B34C4A" w:rsidP="00E466F2">
      <w:pPr>
        <w:ind w:left="720"/>
      </w:pPr>
      <w:r w:rsidRPr="001C3B9A">
        <w:t>In certain cases, these positions are contrary to the purposes of section 7874,</w:t>
      </w:r>
      <w:r>
        <w:t xml:space="preserve"> </w:t>
      </w:r>
      <w:r w:rsidRPr="001C3B9A">
        <w:t>including the purposes of (</w:t>
      </w:r>
      <w:proofErr w:type="spellStart"/>
      <w:r w:rsidRPr="001C3B9A">
        <w:t>i</w:t>
      </w:r>
      <w:proofErr w:type="spellEnd"/>
      <w:r w:rsidRPr="001C3B9A">
        <w:t xml:space="preserve">) the third-country rule set forth in §1.7874-9T </w:t>
      </w:r>
      <w:r>
        <w:t xml:space="preserve">. . . </w:t>
      </w:r>
      <w:r w:rsidRPr="001C3B9A">
        <w:t>, if the subsequent acquiring corporation and the initial</w:t>
      </w:r>
      <w:r>
        <w:t xml:space="preserve"> </w:t>
      </w:r>
      <w:r w:rsidRPr="001C3B9A">
        <w:t>acquiring corporation are subject to tax as residents of different foreign countries, or (ii)</w:t>
      </w:r>
      <w:r>
        <w:t xml:space="preserve"> </w:t>
      </w:r>
      <w:r w:rsidRPr="001C3B9A">
        <w:t>the substantial business activities exception in §1.7874-3 if the EAG has substantial</w:t>
      </w:r>
      <w:r>
        <w:t xml:space="preserve"> </w:t>
      </w:r>
      <w:r w:rsidRPr="001C3B9A">
        <w:t>business activities in the foreign country in which, or under the laws of which, the initial</w:t>
      </w:r>
      <w:r>
        <w:t xml:space="preserve"> </w:t>
      </w:r>
      <w:r w:rsidRPr="001C3B9A">
        <w:t>acquiring corporation is created or organized but does not have substantial business</w:t>
      </w:r>
      <w:r>
        <w:t xml:space="preserve"> </w:t>
      </w:r>
      <w:r w:rsidRPr="001C3B9A">
        <w:t>activities in the foreign country in which, or under the laws of which, the subsequent</w:t>
      </w:r>
      <w:r>
        <w:t xml:space="preserve"> </w:t>
      </w:r>
      <w:r w:rsidRPr="001C3B9A">
        <w:t>acquiring corporation is created or organized.</w:t>
      </w:r>
      <w:r w:rsidR="004B5E40">
        <w:rPr>
          <w:rStyle w:val="FootnoteReference"/>
        </w:rPr>
        <w:footnoteReference w:id="7"/>
      </w:r>
    </w:p>
    <w:p w:rsidR="00B34C4A" w:rsidRDefault="00B34C4A" w:rsidP="00B34C4A"/>
    <w:p w:rsidR="00B34C4A" w:rsidRDefault="00E15816" w:rsidP="00B34C4A">
      <w:r>
        <w:t xml:space="preserve">The </w:t>
      </w:r>
      <w:r w:rsidR="00B34C4A" w:rsidRPr="001C3B9A">
        <w:t>Multiple-Step Acquisition Rule</w:t>
      </w:r>
      <w:r>
        <w:t xml:space="preserve"> in Section </w:t>
      </w:r>
      <w:r w:rsidRPr="00451DE1">
        <w:t>§1.7874-2T(c</w:t>
      </w:r>
      <w:proofErr w:type="gramStart"/>
      <w:r w:rsidRPr="00451DE1">
        <w:t>)(</w:t>
      </w:r>
      <w:proofErr w:type="gramEnd"/>
      <w:r w:rsidRPr="00451DE1">
        <w:t>4)</w:t>
      </w:r>
      <w:r>
        <w:t xml:space="preserve"> addresses this issue.  </w:t>
      </w:r>
      <w:r w:rsidR="006A3366">
        <w:t>The rule sets out the following definitions that are key to understanding the rule</w:t>
      </w:r>
      <w:proofErr w:type="gramStart"/>
      <w:r w:rsidR="006A3366">
        <w:t xml:space="preserve">: </w:t>
      </w:r>
      <w:r w:rsidRPr="00451DE1">
        <w:t>.</w:t>
      </w:r>
      <w:proofErr w:type="gramEnd"/>
    </w:p>
    <w:p w:rsidR="00B34C4A" w:rsidRDefault="00B34C4A" w:rsidP="00B34C4A"/>
    <w:p w:rsidR="00B34C4A" w:rsidRDefault="00B34C4A" w:rsidP="00DD54AA">
      <w:pPr>
        <w:pStyle w:val="ListParagraph"/>
        <w:numPr>
          <w:ilvl w:val="0"/>
          <w:numId w:val="9"/>
        </w:numPr>
      </w:pPr>
      <w:r w:rsidRPr="003738C8">
        <w:t>Initial acquisition means “with respect to a subsequent acquisition, a</w:t>
      </w:r>
      <w:r>
        <w:t xml:space="preserve"> </w:t>
      </w:r>
      <w:r w:rsidRPr="003738C8">
        <w:t>domestic entity acquisition occurring, pursuant to a plan that includes the subsequent</w:t>
      </w:r>
      <w:r>
        <w:t xml:space="preserve"> </w:t>
      </w:r>
      <w:r w:rsidRPr="003738C8">
        <w:t xml:space="preserve">acquisition </w:t>
      </w:r>
      <w:r>
        <w:t xml:space="preserve">. . . </w:t>
      </w:r>
      <w:r w:rsidRPr="003738C8">
        <w:t>before the subsequent acquisition.</w:t>
      </w:r>
      <w:r>
        <w:t xml:space="preserve">” </w:t>
      </w:r>
    </w:p>
    <w:p w:rsidR="00B34C4A" w:rsidRDefault="00B34C4A" w:rsidP="00DD54AA">
      <w:pPr>
        <w:pStyle w:val="ListParagraph"/>
        <w:numPr>
          <w:ilvl w:val="0"/>
          <w:numId w:val="9"/>
        </w:numPr>
      </w:pPr>
      <w:r>
        <w:t>Subsequent acquisition means “</w:t>
      </w:r>
      <w:r w:rsidRPr="00451DE1">
        <w:t>with respect to an initial acquisition, a</w:t>
      </w:r>
      <w:r>
        <w:t xml:space="preserve"> </w:t>
      </w:r>
      <w:r w:rsidRPr="00451DE1">
        <w:t>transaction occurring, pursuant to a plan that includes the initial acquisition</w:t>
      </w:r>
      <w:r>
        <w:t xml:space="preserve"> . . . after </w:t>
      </w:r>
      <w:r w:rsidRPr="00451DE1">
        <w:t>the initial acquisition in which a foreign corporation</w:t>
      </w:r>
      <w:r w:rsidR="00B7335C">
        <w:t xml:space="preserve"> [the second acquiring corporation]</w:t>
      </w:r>
      <w:r w:rsidRPr="00451DE1">
        <w:t xml:space="preserve"> directly</w:t>
      </w:r>
      <w:r>
        <w:t xml:space="preserve"> </w:t>
      </w:r>
      <w:r w:rsidRPr="00451DE1">
        <w:t xml:space="preserve">or indirectly acquires </w:t>
      </w:r>
      <w:r>
        <w:t xml:space="preserve">. . . </w:t>
      </w:r>
      <w:r w:rsidRPr="00451DE1">
        <w:t>substantially all of the properties held directly or indirectly by the initial acquiring</w:t>
      </w:r>
      <w:r>
        <w:t xml:space="preserve"> corporation [</w:t>
      </w:r>
      <w:r w:rsidRPr="00E50C53">
        <w:rPr>
          <w:i/>
        </w:rPr>
        <w:t>i.e</w:t>
      </w:r>
      <w:r>
        <w:t>., the foreign acquiring corporation that makes the initial acquisition].</w:t>
      </w:r>
    </w:p>
    <w:p w:rsidR="00B34C4A" w:rsidRDefault="00B34C4A" w:rsidP="00B34C4A">
      <w:pPr>
        <w:pStyle w:val="ListParagraph"/>
      </w:pPr>
    </w:p>
    <w:p w:rsidR="006A3366" w:rsidRDefault="006A3366" w:rsidP="00B34C4A">
      <w:pPr>
        <w:autoSpaceDE w:val="0"/>
        <w:autoSpaceDN w:val="0"/>
        <w:adjustRightInd w:val="0"/>
      </w:pPr>
      <w:r>
        <w:t xml:space="preserve">The preamble summarizes the rule as follows: </w:t>
      </w:r>
    </w:p>
    <w:p w:rsidR="006A3366" w:rsidRDefault="006A3366" w:rsidP="00B34C4A">
      <w:pPr>
        <w:autoSpaceDE w:val="0"/>
        <w:autoSpaceDN w:val="0"/>
        <w:adjustRightInd w:val="0"/>
      </w:pPr>
    </w:p>
    <w:p w:rsidR="00B34C4A" w:rsidRPr="00451DE1" w:rsidRDefault="00B34C4A" w:rsidP="006A3366">
      <w:pPr>
        <w:autoSpaceDE w:val="0"/>
        <w:autoSpaceDN w:val="0"/>
        <w:adjustRightInd w:val="0"/>
        <w:ind w:left="720"/>
      </w:pPr>
      <w:r w:rsidRPr="001C3B9A">
        <w:t xml:space="preserve">To address the concerns </w:t>
      </w:r>
      <w:r>
        <w:t xml:space="preserve">. . . </w:t>
      </w:r>
      <w:r w:rsidRPr="001C3B9A">
        <w:t>the temporary</w:t>
      </w:r>
      <w:r>
        <w:t xml:space="preserve"> </w:t>
      </w:r>
      <w:r w:rsidRPr="001C3B9A">
        <w:t>regulations provide a rule (the multiple-step acquisition rule) that treats the subsequent</w:t>
      </w:r>
      <w:r>
        <w:t xml:space="preserve"> </w:t>
      </w:r>
      <w:r w:rsidRPr="001C3B9A">
        <w:t>acquisition</w:t>
      </w:r>
      <w:r>
        <w:t xml:space="preserve"> </w:t>
      </w:r>
      <w:r w:rsidRPr="00451DE1">
        <w:t>as a domestic entity acquisition and the subsequent acquiring corporation as a foreign acquiring corporation. §1.7874-2T(c</w:t>
      </w:r>
      <w:proofErr w:type="gramStart"/>
      <w:r w:rsidRPr="00451DE1">
        <w:t>)(</w:t>
      </w:r>
      <w:proofErr w:type="gramEnd"/>
      <w:r w:rsidRPr="00451DE1">
        <w:t>4)(</w:t>
      </w:r>
      <w:proofErr w:type="spellStart"/>
      <w:r w:rsidRPr="00451DE1">
        <w:t>i</w:t>
      </w:r>
      <w:proofErr w:type="spellEnd"/>
      <w:r w:rsidRPr="00451DE1">
        <w:t>). When the multiple-step acquisition rule applies, the temporary regulations treat stock of the subsequent acquiring corporation received, pursuant to the subsequent acquisition, in exchange for stock of the initial acquiring corporation described in section 7874(a)(2)(B)(ii) (that is, stock of the initial acquiring corporation that, as a result of the initial acquisition, is by-reason-of stock) as stock of the subsequent acquiring corporation held by reason of holding stock in the domestic entity. §1.7874-</w:t>
      </w:r>
      <w:proofErr w:type="gramStart"/>
      <w:r w:rsidRPr="00451DE1">
        <w:t>2T(</w:t>
      </w:r>
      <w:proofErr w:type="gramEnd"/>
      <w:r w:rsidRPr="00451DE1">
        <w:t>f)(1)(iv).</w:t>
      </w:r>
    </w:p>
    <w:p w:rsidR="00F04F8F" w:rsidRPr="0088734C" w:rsidRDefault="004B3672" w:rsidP="00B34C4A">
      <w:pPr>
        <w:pStyle w:val="Heading2"/>
      </w:pPr>
      <w:bookmarkStart w:id="66" w:name="_Toc449441985"/>
      <w:r w:rsidRPr="0088734C">
        <w:t>CLARIFICATION OF THE CALCULATION OF THE OWNERSHIP PERCENTAGE</w:t>
      </w:r>
      <w:r>
        <w:t>:</w:t>
      </w:r>
      <w:r w:rsidRPr="0088734C">
        <w:t xml:space="preserve"> </w:t>
      </w:r>
      <w:r>
        <w:t xml:space="preserve">IMPLEMENTING THE ANTI-STUFFING PROVISIONS OF THE 2015 NOTICE, </w:t>
      </w:r>
      <w:r w:rsidR="00D4067F">
        <w:t xml:space="preserve">§ </w:t>
      </w:r>
      <w:r w:rsidRPr="0088734C">
        <w:t>1.7874-4T</w:t>
      </w:r>
      <w:bookmarkEnd w:id="66"/>
      <w:r>
        <w:t xml:space="preserve"> </w:t>
      </w:r>
      <w:r w:rsidRPr="0088734C">
        <w:t xml:space="preserve">  </w:t>
      </w:r>
    </w:p>
    <w:p w:rsidR="007E6229" w:rsidRPr="007E6229" w:rsidRDefault="00B7632A" w:rsidP="007E6229">
      <w:r>
        <w:t xml:space="preserve">The preamble of the </w:t>
      </w:r>
      <w:r w:rsidR="00FF01B3">
        <w:t xml:space="preserve">2016 General Inversion </w:t>
      </w:r>
      <w:proofErr w:type="spellStart"/>
      <w:r w:rsidR="00FF01B3">
        <w:t>Regs</w:t>
      </w:r>
      <w:proofErr w:type="spellEnd"/>
      <w:r>
        <w:t xml:space="preserve"> provide</w:t>
      </w:r>
      <w:r w:rsidR="00292A7A">
        <w:t>s</w:t>
      </w:r>
      <w:r>
        <w:t xml:space="preserve"> the following </w:t>
      </w:r>
      <w:r w:rsidR="00A64C1A">
        <w:t xml:space="preserve">background and </w:t>
      </w:r>
      <w:r>
        <w:t xml:space="preserve">description to the clarification </w:t>
      </w:r>
      <w:r w:rsidR="00321088" w:rsidRPr="007E6229">
        <w:t>of §1.7874-4T</w:t>
      </w:r>
      <w:r w:rsidR="00321088">
        <w:t xml:space="preserve"> </w:t>
      </w:r>
      <w:r>
        <w:t>on the c</w:t>
      </w:r>
      <w:r w:rsidR="007E6229" w:rsidRPr="007E6229">
        <w:t>alculation of the ownership percentage</w:t>
      </w:r>
      <w:r w:rsidR="004E1AB2">
        <w:t xml:space="preserve">, which implements </w:t>
      </w:r>
      <w:r w:rsidR="00F81E27">
        <w:t xml:space="preserve">an Anti-Stuffing </w:t>
      </w:r>
      <w:r w:rsidR="00397194">
        <w:t xml:space="preserve">provision of the </w:t>
      </w:r>
      <w:r w:rsidR="004E1AB2">
        <w:t>201</w:t>
      </w:r>
      <w:r w:rsidR="00397194">
        <w:t>5</w:t>
      </w:r>
      <w:r w:rsidR="004E1AB2">
        <w:t xml:space="preserve"> Inversion Notice</w:t>
      </w:r>
      <w:r w:rsidR="00DB0763">
        <w:t xml:space="preserve">:  </w:t>
      </w:r>
    </w:p>
    <w:p w:rsidR="00321088" w:rsidRDefault="00321088" w:rsidP="007E6229"/>
    <w:p w:rsidR="007E6229" w:rsidRPr="007E6229" w:rsidRDefault="007E6229" w:rsidP="0088734C">
      <w:pPr>
        <w:ind w:left="720"/>
      </w:pPr>
      <w:r w:rsidRPr="007E6229">
        <w:lastRenderedPageBreak/>
        <w:t xml:space="preserve">Under </w:t>
      </w:r>
      <w:r w:rsidR="000F192E">
        <w:t>Section</w:t>
      </w:r>
      <w:r w:rsidRPr="007E6229">
        <w:t xml:space="preserve"> 7874(c)(2)(B) (statutory public offering rule), stock of a foreign</w:t>
      </w:r>
      <w:r>
        <w:t xml:space="preserve"> </w:t>
      </w:r>
      <w:r w:rsidRPr="007E6229">
        <w:t>acquiring corporation that is sold in a public offering related to a domestic entity</w:t>
      </w:r>
      <w:r>
        <w:t xml:space="preserve"> </w:t>
      </w:r>
      <w:r w:rsidRPr="007E6229">
        <w:t xml:space="preserve">acquisition described in </w:t>
      </w:r>
      <w:r w:rsidR="000F192E">
        <w:t>Section</w:t>
      </w:r>
      <w:r w:rsidRPr="007E6229">
        <w:t xml:space="preserve"> 7874(a)(2)(B)(</w:t>
      </w:r>
      <w:proofErr w:type="spellStart"/>
      <w:r w:rsidRPr="007E6229">
        <w:t>i</w:t>
      </w:r>
      <w:proofErr w:type="spellEnd"/>
      <w:r w:rsidRPr="007E6229">
        <w:t>) is excluded from the denominator of the</w:t>
      </w:r>
      <w:r>
        <w:t xml:space="preserve"> </w:t>
      </w:r>
      <w:r w:rsidRPr="007E6229">
        <w:t xml:space="preserve">ownership fraction. The statutory public offering rule furthers the policy that </w:t>
      </w:r>
      <w:r w:rsidR="000F192E">
        <w:t>Section</w:t>
      </w:r>
      <w:r w:rsidR="00CB1BB4">
        <w:t xml:space="preserve"> </w:t>
      </w:r>
      <w:r w:rsidRPr="007E6229">
        <w:t>7874 is intended to curtail domestic entity acquisitions that “permit corporations and</w:t>
      </w:r>
      <w:r w:rsidR="00CB1BB4">
        <w:t xml:space="preserve"> </w:t>
      </w:r>
      <w:r w:rsidRPr="007E6229">
        <w:t>other entities to continue to conduct business in the same manner as they did prior to</w:t>
      </w:r>
      <w:r w:rsidR="00CB1BB4">
        <w:t xml:space="preserve"> </w:t>
      </w:r>
      <w:r w:rsidRPr="007E6229">
        <w:t xml:space="preserve">the inversion.” </w:t>
      </w:r>
      <w:proofErr w:type="gramStart"/>
      <w:r w:rsidRPr="007E6229">
        <w:t>S. Rep. No. 192, 108th Cong., 1st. Sess., at 142 (2003); JCT</w:t>
      </w:r>
      <w:r w:rsidR="00CB1BB4">
        <w:t xml:space="preserve"> </w:t>
      </w:r>
      <w:r w:rsidRPr="007E6229">
        <w:t>Explanation, at 343.</w:t>
      </w:r>
      <w:proofErr w:type="gramEnd"/>
    </w:p>
    <w:p w:rsidR="00CB1BB4" w:rsidRDefault="00CB1BB4" w:rsidP="0088734C">
      <w:pPr>
        <w:ind w:left="720"/>
      </w:pPr>
    </w:p>
    <w:p w:rsidR="007E6229" w:rsidRPr="007E6229" w:rsidRDefault="000F192E" w:rsidP="0088734C">
      <w:pPr>
        <w:ind w:left="720"/>
      </w:pPr>
      <w:r>
        <w:t>Section</w:t>
      </w:r>
      <w:r w:rsidR="007E6229" w:rsidRPr="007E6229">
        <w:t xml:space="preserve"> 1.7874-4T modifies the statutory public offering rule. The preamble to</w:t>
      </w:r>
      <w:r w:rsidR="00CB1BB4">
        <w:t xml:space="preserve"> </w:t>
      </w:r>
      <w:r w:rsidR="007E6229" w:rsidRPr="007E6229">
        <w:t>§1.7874-4T provides that “the IRS and the Treasury Department believe that stock of</w:t>
      </w:r>
      <w:r w:rsidR="00CB1BB4">
        <w:t xml:space="preserve"> </w:t>
      </w:r>
      <w:r w:rsidR="007E6229" w:rsidRPr="007E6229">
        <w:t>the foreign acquiring corporation transferred in exchange for certain property in a</w:t>
      </w:r>
      <w:r w:rsidR="00CB1BB4">
        <w:t xml:space="preserve"> </w:t>
      </w:r>
      <w:r w:rsidR="007E6229" w:rsidRPr="007E6229">
        <w:t>transaction related to the acquisition, but not through a public offering, presents the</w:t>
      </w:r>
      <w:r w:rsidR="00CB1BB4">
        <w:t xml:space="preserve"> </w:t>
      </w:r>
      <w:r w:rsidR="007E6229" w:rsidRPr="007E6229">
        <w:t xml:space="preserve">same opportunity to inappropriately reduce the ownership fraction.” </w:t>
      </w:r>
      <w:r w:rsidR="009A7965">
        <w:t xml:space="preserve">. . .  </w:t>
      </w:r>
      <w:r w:rsidR="007E6229" w:rsidRPr="007E6229">
        <w:t>Accordingly,</w:t>
      </w:r>
      <w:r w:rsidR="009A7965">
        <w:t xml:space="preserve"> </w:t>
      </w:r>
      <w:r w:rsidR="007E6229" w:rsidRPr="007E6229">
        <w:t>§1.7874-</w:t>
      </w:r>
      <w:proofErr w:type="gramStart"/>
      <w:r w:rsidR="007E6229" w:rsidRPr="007E6229">
        <w:t>4T(</w:t>
      </w:r>
      <w:proofErr w:type="gramEnd"/>
      <w:r w:rsidR="007E6229" w:rsidRPr="007E6229">
        <w:t xml:space="preserve">b) provides that, subject to a </w:t>
      </w:r>
      <w:r w:rsidR="007E6229" w:rsidRPr="009A7965">
        <w:rPr>
          <w:i/>
        </w:rPr>
        <w:t xml:space="preserve">de </w:t>
      </w:r>
      <w:proofErr w:type="spellStart"/>
      <w:r w:rsidR="007E6229" w:rsidRPr="009A7965">
        <w:rPr>
          <w:i/>
        </w:rPr>
        <w:t>minimis</w:t>
      </w:r>
      <w:proofErr w:type="spellEnd"/>
      <w:r w:rsidR="007E6229" w:rsidRPr="007E6229">
        <w:t xml:space="preserve"> exception, “disqualified stock” is</w:t>
      </w:r>
      <w:r w:rsidR="009A7965">
        <w:t xml:space="preserve"> </w:t>
      </w:r>
      <w:r w:rsidR="007E6229" w:rsidRPr="007E6229">
        <w:t>not included in the denominator of the ownership fraction. Disqualified stock generally</w:t>
      </w:r>
      <w:r w:rsidR="00D6195B">
        <w:t xml:space="preserve"> </w:t>
      </w:r>
      <w:r w:rsidR="007E6229" w:rsidRPr="007E6229">
        <w:t>includes stock of the foreign acquiring corporation that is transferred to a person (other</w:t>
      </w:r>
      <w:r w:rsidR="00D6195B">
        <w:t xml:space="preserve"> </w:t>
      </w:r>
      <w:r w:rsidR="007E6229" w:rsidRPr="007E6229">
        <w:t>than the domestic entity) in exchange for “nonqualified property.” The term</w:t>
      </w:r>
      <w:r w:rsidR="00D6195B">
        <w:t xml:space="preserve"> </w:t>
      </w:r>
      <w:r w:rsidR="007E6229" w:rsidRPr="007E6229">
        <w:t>“nonqualified property” means (</w:t>
      </w:r>
      <w:proofErr w:type="spellStart"/>
      <w:r w:rsidR="007E6229" w:rsidRPr="007E6229">
        <w:t>i</w:t>
      </w:r>
      <w:proofErr w:type="spellEnd"/>
      <w:r w:rsidR="007E6229" w:rsidRPr="007E6229">
        <w:t>) cash or cash equivalents, (ii) marketable securities,</w:t>
      </w:r>
      <w:r w:rsidR="00C3236C">
        <w:t xml:space="preserve"> </w:t>
      </w:r>
      <w:r w:rsidR="007E6229" w:rsidRPr="007E6229">
        <w:t>(iii) certain obligations (for example, obligations owed by members of the EAG</w:t>
      </w:r>
      <w:r w:rsidR="00CF4360">
        <w:t xml:space="preserve"> [Expanded Affiliated Group]</w:t>
      </w:r>
      <w:r w:rsidR="007E6229" w:rsidRPr="007E6229">
        <w:t>), or (iv)</w:t>
      </w:r>
      <w:r w:rsidR="00D6195B">
        <w:t xml:space="preserve"> </w:t>
      </w:r>
      <w:r w:rsidR="007E6229" w:rsidRPr="007E6229">
        <w:t>any other property acquired in a transaction (or series of transactions) related to the</w:t>
      </w:r>
      <w:r w:rsidR="00D6195B">
        <w:t xml:space="preserve"> </w:t>
      </w:r>
      <w:r w:rsidR="007E6229" w:rsidRPr="007E6229">
        <w:t xml:space="preserve">domestic entity acquisition with a principal purpose of avoiding the purposes of </w:t>
      </w:r>
      <w:r>
        <w:t>Section</w:t>
      </w:r>
      <w:r w:rsidR="008468AA">
        <w:t xml:space="preserve"> </w:t>
      </w:r>
      <w:r w:rsidR="007E6229" w:rsidRPr="007E6229">
        <w:t>7874. This preamble refers at times to the property described in clauses (</w:t>
      </w:r>
      <w:proofErr w:type="spellStart"/>
      <w:r w:rsidR="007E6229" w:rsidRPr="007E6229">
        <w:t>i</w:t>
      </w:r>
      <w:proofErr w:type="spellEnd"/>
      <w:r w:rsidR="007E6229" w:rsidRPr="007E6229">
        <w:t>), (ii), and (iii)</w:t>
      </w:r>
      <w:r w:rsidR="008468AA">
        <w:t xml:space="preserve"> </w:t>
      </w:r>
      <w:r w:rsidR="007E6229" w:rsidRPr="007E6229">
        <w:t>of the preceding sentence collectively as “specified nonqualified property” and to the</w:t>
      </w:r>
      <w:r w:rsidR="008468AA">
        <w:t xml:space="preserve"> </w:t>
      </w:r>
      <w:r w:rsidR="007E6229" w:rsidRPr="007E6229">
        <w:t xml:space="preserve">property described in clause </w:t>
      </w:r>
      <w:proofErr w:type="gramStart"/>
      <w:r w:rsidR="007E6229" w:rsidRPr="007E6229">
        <w:t>(iv) as</w:t>
      </w:r>
      <w:proofErr w:type="gramEnd"/>
      <w:r w:rsidR="007E6229" w:rsidRPr="007E6229">
        <w:t xml:space="preserve"> “avoidance property.” </w:t>
      </w:r>
      <w:r w:rsidR="008468AA">
        <w:t xml:space="preserve">. . .  </w:t>
      </w:r>
    </w:p>
    <w:p w:rsidR="008468AA" w:rsidRDefault="008468AA" w:rsidP="0088734C">
      <w:pPr>
        <w:ind w:left="720"/>
      </w:pPr>
    </w:p>
    <w:p w:rsidR="007E6229" w:rsidRPr="007E6229" w:rsidRDefault="007E6229" w:rsidP="0088734C">
      <w:pPr>
        <w:ind w:left="720"/>
      </w:pPr>
      <w:r w:rsidRPr="007E6229">
        <w:t>b. Clarification</w:t>
      </w:r>
    </w:p>
    <w:p w:rsidR="00504D58" w:rsidRPr="00504D58" w:rsidRDefault="000F192E" w:rsidP="0088734C">
      <w:pPr>
        <w:ind w:left="720"/>
      </w:pPr>
      <w:r>
        <w:t>Section</w:t>
      </w:r>
      <w:r w:rsidR="007E6229" w:rsidRPr="007E6229">
        <w:t xml:space="preserve"> 2.03(b) of the 2015 notice provides that §1.7874-4T will be clarified in</w:t>
      </w:r>
      <w:r w:rsidR="003204EC">
        <w:t xml:space="preserve"> </w:t>
      </w:r>
      <w:r w:rsidR="007E6229" w:rsidRPr="007E6229">
        <w:t>certain respects. The temporary regulations implement these clarifications.</w:t>
      </w:r>
      <w:r w:rsidR="003204EC">
        <w:t xml:space="preserve">  </w:t>
      </w:r>
      <w:r w:rsidR="007E6229" w:rsidRPr="007E6229">
        <w:t>Accordingly, with respect to the definition of nonqualified property, the temporary</w:t>
      </w:r>
      <w:r w:rsidR="003204EC">
        <w:t xml:space="preserve"> </w:t>
      </w:r>
      <w:r w:rsidR="007E6229" w:rsidRPr="007E6229">
        <w:t>regulations clarify that avoidance property means any property (other than specified</w:t>
      </w:r>
      <w:r w:rsidR="003204EC">
        <w:t xml:space="preserve"> </w:t>
      </w:r>
      <w:r w:rsidR="007E6229" w:rsidRPr="007E6229">
        <w:t>nonqualified property) acquired with a principal purpose of avoiding the purposes of</w:t>
      </w:r>
      <w:r w:rsidR="003204EC">
        <w:t xml:space="preserve"> </w:t>
      </w:r>
      <w:r>
        <w:t>Section</w:t>
      </w:r>
      <w:r w:rsidR="007E6229" w:rsidRPr="007E6229">
        <w:t xml:space="preserve"> 7874, regardless of whether the transaction involves an indirect transfer of</w:t>
      </w:r>
      <w:r w:rsidR="003204EC">
        <w:t xml:space="preserve"> </w:t>
      </w:r>
      <w:r w:rsidR="007E6229" w:rsidRPr="007E6229">
        <w:t>specified nonqualified property. See §1.7874-</w:t>
      </w:r>
      <w:proofErr w:type="gramStart"/>
      <w:r w:rsidR="007E6229" w:rsidRPr="007E6229">
        <w:t>4T(</w:t>
      </w:r>
      <w:proofErr w:type="gramEnd"/>
      <w:r w:rsidR="007E6229" w:rsidRPr="007E6229">
        <w:t>j), Example 3. Second, the temporary</w:t>
      </w:r>
      <w:r w:rsidR="003204EC">
        <w:t xml:space="preserve"> </w:t>
      </w:r>
      <w:r w:rsidR="007E6229" w:rsidRPr="007E6229">
        <w:t>regulations remove the phrase “in a transaction (or series of transactions) related to the</w:t>
      </w:r>
      <w:r w:rsidR="003204EC">
        <w:t xml:space="preserve"> </w:t>
      </w:r>
      <w:r w:rsidR="007E6229" w:rsidRPr="007E6229">
        <w:t>acquisition” from the definition of avoidance property. See §1.7874-</w:t>
      </w:r>
      <w:proofErr w:type="gramStart"/>
      <w:r w:rsidR="007E6229" w:rsidRPr="007E6229">
        <w:t>4T(</w:t>
      </w:r>
      <w:proofErr w:type="spellStart"/>
      <w:proofErr w:type="gramEnd"/>
      <w:r w:rsidR="007E6229" w:rsidRPr="007E6229">
        <w:t>i</w:t>
      </w:r>
      <w:proofErr w:type="spellEnd"/>
      <w:r w:rsidR="007E6229" w:rsidRPr="007E6229">
        <w:t>)(7)(iv). Third,</w:t>
      </w:r>
      <w:r w:rsidR="003204EC">
        <w:t xml:space="preserve"> </w:t>
      </w:r>
      <w:r w:rsidR="007E6229" w:rsidRPr="007E6229">
        <w:t>the temporary regulations remove the phrase “unless a principal purpose for acquiring</w:t>
      </w:r>
      <w:r w:rsidR="00504D58">
        <w:t xml:space="preserve"> </w:t>
      </w:r>
      <w:r w:rsidR="00504D58" w:rsidRPr="00504D58">
        <w:t xml:space="preserve">such stock or partnership interest is to avoid the purposes of </w:t>
      </w:r>
      <w:r>
        <w:t>Section</w:t>
      </w:r>
      <w:r w:rsidR="00504D58" w:rsidRPr="00504D58">
        <w:t xml:space="preserve"> 7874” from the</w:t>
      </w:r>
      <w:r w:rsidR="00504D58">
        <w:t xml:space="preserve"> </w:t>
      </w:r>
      <w:r w:rsidR="00504D58" w:rsidRPr="00504D58">
        <w:t>definition of “marketable securities.” See §1.7874-</w:t>
      </w:r>
      <w:proofErr w:type="gramStart"/>
      <w:r w:rsidR="00504D58" w:rsidRPr="00504D58">
        <w:t>4T(</w:t>
      </w:r>
      <w:proofErr w:type="spellStart"/>
      <w:proofErr w:type="gramEnd"/>
      <w:r w:rsidR="00504D58" w:rsidRPr="00504D58">
        <w:t>i</w:t>
      </w:r>
      <w:proofErr w:type="spellEnd"/>
      <w:r w:rsidR="00504D58" w:rsidRPr="00504D58">
        <w:t>)(6). Finally, the temporary</w:t>
      </w:r>
      <w:r w:rsidR="00504D58">
        <w:t xml:space="preserve"> </w:t>
      </w:r>
      <w:r w:rsidR="00504D58" w:rsidRPr="00504D58">
        <w:t>regulations clarify Example 1 and Example 2 of §1.7874-</w:t>
      </w:r>
      <w:proofErr w:type="gramStart"/>
      <w:r w:rsidR="00504D58" w:rsidRPr="00504D58">
        <w:t>4T(</w:t>
      </w:r>
      <w:proofErr w:type="gramEnd"/>
      <w:r w:rsidR="00504D58" w:rsidRPr="00504D58">
        <w:t>j) by including a reference</w:t>
      </w:r>
      <w:r w:rsidR="003020C0">
        <w:t xml:space="preserve"> </w:t>
      </w:r>
      <w:r w:rsidR="00504D58" w:rsidRPr="00504D58">
        <w:t xml:space="preserve">to </w:t>
      </w:r>
      <w:r>
        <w:t>Section</w:t>
      </w:r>
      <w:r w:rsidR="00504D58" w:rsidRPr="00504D58">
        <w:t xml:space="preserve"> 7874(c)(4).</w:t>
      </w:r>
    </w:p>
    <w:p w:rsidR="003020C0" w:rsidRDefault="003020C0" w:rsidP="0088734C">
      <w:pPr>
        <w:ind w:left="720"/>
      </w:pPr>
    </w:p>
    <w:p w:rsidR="00F04F8F" w:rsidRDefault="00504D58" w:rsidP="0088734C">
      <w:pPr>
        <w:ind w:left="720"/>
      </w:pPr>
      <w:r w:rsidRPr="00504D58">
        <w:t xml:space="preserve">In addition, the temporary regulations update the </w:t>
      </w:r>
      <w:r w:rsidRPr="003020C0">
        <w:rPr>
          <w:i/>
        </w:rPr>
        <w:t xml:space="preserve">de </w:t>
      </w:r>
      <w:proofErr w:type="spellStart"/>
      <w:r w:rsidRPr="003020C0">
        <w:rPr>
          <w:i/>
        </w:rPr>
        <w:t>minimis</w:t>
      </w:r>
      <w:proofErr w:type="spellEnd"/>
      <w:r w:rsidRPr="00504D58">
        <w:t xml:space="preserve"> exception in</w:t>
      </w:r>
      <w:r w:rsidR="003020C0">
        <w:t xml:space="preserve"> </w:t>
      </w:r>
      <w:r w:rsidRPr="00504D58">
        <w:t xml:space="preserve">§1.7874-4T(d)(1) to reflect the passive assets rule (described in </w:t>
      </w:r>
      <w:r w:rsidR="000F192E">
        <w:t>Section</w:t>
      </w:r>
      <w:r w:rsidRPr="00504D58">
        <w:t xml:space="preserve"> 2 of this Part</w:t>
      </w:r>
      <w:r w:rsidR="003020C0">
        <w:t xml:space="preserve"> </w:t>
      </w:r>
      <w:r w:rsidRPr="00504D58">
        <w:t>I.B) and the NOCD</w:t>
      </w:r>
      <w:r w:rsidR="003020C0">
        <w:t xml:space="preserve"> [Non-Ordinary Course Distribution]</w:t>
      </w:r>
      <w:r w:rsidRPr="00504D58">
        <w:t xml:space="preserve"> rule (described in </w:t>
      </w:r>
      <w:r w:rsidR="000F192E">
        <w:t>Section</w:t>
      </w:r>
      <w:r w:rsidRPr="00504D58">
        <w:t xml:space="preserve"> 5 of this Part I.B), </w:t>
      </w:r>
      <w:r w:rsidRPr="00504D58">
        <w:lastRenderedPageBreak/>
        <w:t>and to also conform the</w:t>
      </w:r>
      <w:r w:rsidR="003020C0">
        <w:t xml:space="preserve"> </w:t>
      </w:r>
      <w:r w:rsidRPr="00504D58">
        <w:t xml:space="preserve">exception to the </w:t>
      </w:r>
      <w:r w:rsidRPr="003020C0">
        <w:rPr>
          <w:i/>
        </w:rPr>
        <w:t xml:space="preserve">de </w:t>
      </w:r>
      <w:proofErr w:type="spellStart"/>
      <w:r w:rsidRPr="003020C0">
        <w:rPr>
          <w:i/>
        </w:rPr>
        <w:t>minimis</w:t>
      </w:r>
      <w:proofErr w:type="spellEnd"/>
      <w:r w:rsidRPr="00504D58">
        <w:t xml:space="preserve"> exceptions in §§1.7874-7T(c) and 1.7874-10T(d).</w:t>
      </w:r>
      <w:r w:rsidR="0059460D">
        <w:rPr>
          <w:rStyle w:val="FootnoteReference"/>
        </w:rPr>
        <w:footnoteReference w:id="8"/>
      </w:r>
    </w:p>
    <w:p w:rsidR="002C7929" w:rsidRDefault="002C7929" w:rsidP="0088734C">
      <w:pPr>
        <w:ind w:left="720"/>
      </w:pPr>
    </w:p>
    <w:p w:rsidR="002C7929" w:rsidRPr="002C7929" w:rsidRDefault="002C7929" w:rsidP="002C7929">
      <w:r>
        <w:t>Example</w:t>
      </w:r>
      <w:r w:rsidR="00B95E8E">
        <w:t xml:space="preserve"> </w:t>
      </w:r>
      <w:r>
        <w:t>3</w:t>
      </w:r>
      <w:r w:rsidR="004301F2">
        <w:t xml:space="preserve"> under § 1.7874-</w:t>
      </w:r>
      <w:proofErr w:type="gramStart"/>
      <w:r w:rsidR="004301F2">
        <w:t>4T</w:t>
      </w:r>
      <w:r w:rsidR="003D4A6F">
        <w:t>(</w:t>
      </w:r>
      <w:proofErr w:type="gramEnd"/>
      <w:r w:rsidR="003D4A6F">
        <w:t xml:space="preserve">j) illustrates the above principles: </w:t>
      </w:r>
    </w:p>
    <w:p w:rsidR="002C7929" w:rsidRDefault="002C7929" w:rsidP="0088734C">
      <w:pPr>
        <w:ind w:left="720"/>
      </w:pPr>
    </w:p>
    <w:p w:rsidR="002C7929" w:rsidRPr="002C7929" w:rsidRDefault="002C7929" w:rsidP="002C7929">
      <w:pPr>
        <w:ind w:left="720"/>
      </w:pPr>
      <w:proofErr w:type="gramStart"/>
      <w:r w:rsidRPr="002C7929">
        <w:t>Example 3.</w:t>
      </w:r>
      <w:proofErr w:type="gramEnd"/>
      <w:r w:rsidRPr="002C7929">
        <w:t xml:space="preserve"> Stock transferred in exchange for property acquired with a principal</w:t>
      </w:r>
      <w:r w:rsidR="00E3458A">
        <w:t xml:space="preserve"> </w:t>
      </w:r>
      <w:r w:rsidRPr="002C7929">
        <w:t>purpose of avoiding the purposes of section 7874. (</w:t>
      </w:r>
      <w:proofErr w:type="spellStart"/>
      <w:r w:rsidRPr="002C7929">
        <w:t>i</w:t>
      </w:r>
      <w:proofErr w:type="spellEnd"/>
      <w:r w:rsidRPr="002C7929">
        <w:t>) Facts. DT is a publicly traded</w:t>
      </w:r>
      <w:r w:rsidR="00E3458A">
        <w:t xml:space="preserve"> </w:t>
      </w:r>
      <w:r w:rsidRPr="002C7929">
        <w:t>corporation. PRS is a foreign partnership that is unrelated to DT. PRS transfers certain</w:t>
      </w:r>
      <w:r w:rsidR="00E3458A">
        <w:t xml:space="preserve"> </w:t>
      </w:r>
      <w:r w:rsidRPr="002C7929">
        <w:t>business assets (PRS properties) to FA, a newly formed foreign corporation, in</w:t>
      </w:r>
      <w:r w:rsidR="00E3458A">
        <w:t xml:space="preserve"> </w:t>
      </w:r>
      <w:r w:rsidRPr="002C7929">
        <w:t>exchange solely for 25 shares of FA stock. The shareholders of DT transfer all of their</w:t>
      </w:r>
      <w:r w:rsidR="00E3458A">
        <w:t xml:space="preserve"> </w:t>
      </w:r>
      <w:r w:rsidRPr="002C7929">
        <w:t>DT stock to FA in exchange solely for the remaining 75 shares of FA stock. None of the</w:t>
      </w:r>
      <w:r w:rsidR="006F7019">
        <w:t xml:space="preserve"> </w:t>
      </w:r>
      <w:r w:rsidRPr="002C7929">
        <w:t>PRS properties is property described in paragraph (</w:t>
      </w:r>
      <w:proofErr w:type="spellStart"/>
      <w:r w:rsidRPr="002C7929">
        <w:t>i</w:t>
      </w:r>
      <w:proofErr w:type="spellEnd"/>
      <w:proofErr w:type="gramStart"/>
      <w:r w:rsidRPr="002C7929">
        <w:t>)(</w:t>
      </w:r>
      <w:proofErr w:type="gramEnd"/>
      <w:r w:rsidRPr="002C7929">
        <w:t>7)(</w:t>
      </w:r>
      <w:proofErr w:type="spellStart"/>
      <w:r w:rsidRPr="002C7929">
        <w:t>i</w:t>
      </w:r>
      <w:proofErr w:type="spellEnd"/>
      <w:r w:rsidRPr="002C7929">
        <w:t>) through (iii) of this section,</w:t>
      </w:r>
      <w:r w:rsidR="006F7019">
        <w:t xml:space="preserve"> </w:t>
      </w:r>
      <w:r w:rsidRPr="002C7929">
        <w:t>but FA acquires the PRS properties with a principal purpose of avoiding the purposes of</w:t>
      </w:r>
      <w:r w:rsidR="006F7019">
        <w:t xml:space="preserve"> </w:t>
      </w:r>
      <w:r w:rsidRPr="002C7929">
        <w:t>section 7874.</w:t>
      </w:r>
    </w:p>
    <w:p w:rsidR="006F7019" w:rsidRDefault="006F7019" w:rsidP="002C7929">
      <w:pPr>
        <w:ind w:left="720"/>
      </w:pPr>
    </w:p>
    <w:p w:rsidR="002C7929" w:rsidRDefault="002C7929" w:rsidP="002C7929">
      <w:pPr>
        <w:ind w:left="720"/>
        <w:rPr>
          <w:b/>
        </w:rPr>
      </w:pPr>
      <w:r w:rsidRPr="002C7929">
        <w:t>(ii) Analysis. Under paragraph (</w:t>
      </w:r>
      <w:proofErr w:type="spellStart"/>
      <w:r w:rsidRPr="002C7929">
        <w:t>i</w:t>
      </w:r>
      <w:proofErr w:type="spellEnd"/>
      <w:r w:rsidRPr="002C7929">
        <w:t>)(7)(iv) of this section</w:t>
      </w:r>
      <w:r w:rsidR="006F7019">
        <w:t xml:space="preserve"> </w:t>
      </w:r>
      <w:r w:rsidR="006F7019" w:rsidRPr="006F7019">
        <w:rPr>
          <w:b/>
        </w:rPr>
        <w:t>[the principal purpose rule]</w:t>
      </w:r>
      <w:r w:rsidRPr="002C7929">
        <w:t>, the PRS properties</w:t>
      </w:r>
      <w:r w:rsidR="006F7019">
        <w:t xml:space="preserve"> </w:t>
      </w:r>
      <w:r w:rsidRPr="002C7929">
        <w:t>transferred to FA constitute nonqualified property, because FA acquires the PRS</w:t>
      </w:r>
      <w:r w:rsidR="00A8654A">
        <w:t xml:space="preserve"> </w:t>
      </w:r>
      <w:r w:rsidRPr="002C7929">
        <w:t>properties in a transaction related to the acquisition of the DT stock with a principal</w:t>
      </w:r>
      <w:r w:rsidR="00A8654A">
        <w:t xml:space="preserve"> </w:t>
      </w:r>
      <w:r w:rsidRPr="002C7929">
        <w:t>purpose of avoiding the purposes of section 7874. Accordingly, the 25 shares of FA</w:t>
      </w:r>
      <w:r w:rsidR="00A8654A">
        <w:t xml:space="preserve"> </w:t>
      </w:r>
      <w:r w:rsidRPr="002C7929">
        <w:t>stock transferred by FA to PRS in exchange for the PRS properties constitute</w:t>
      </w:r>
      <w:r w:rsidR="00A8654A">
        <w:t xml:space="preserve"> </w:t>
      </w:r>
      <w:r w:rsidRPr="002C7929">
        <w:t>disqualified stock described in paragraph (c)(1)(</w:t>
      </w:r>
      <w:proofErr w:type="spellStart"/>
      <w:r w:rsidRPr="002C7929">
        <w:t>i</w:t>
      </w:r>
      <w:proofErr w:type="spellEnd"/>
      <w:r w:rsidRPr="002C7929">
        <w:t>) of this section. Paragraph (c)(2) of</w:t>
      </w:r>
      <w:r w:rsidR="00A8654A">
        <w:t xml:space="preserve"> </w:t>
      </w:r>
      <w:r w:rsidRPr="002C7929">
        <w:t>this section does not apply to reduce the amount of disqualified stock described in</w:t>
      </w:r>
      <w:r w:rsidR="00A8654A">
        <w:t xml:space="preserve"> </w:t>
      </w:r>
      <w:r w:rsidRPr="002C7929">
        <w:t>paragraph (c)(1)(</w:t>
      </w:r>
      <w:proofErr w:type="spellStart"/>
      <w:r w:rsidRPr="002C7929">
        <w:t>i</w:t>
      </w:r>
      <w:proofErr w:type="spellEnd"/>
      <w:r w:rsidRPr="002C7929">
        <w:t>) of this section because the transfer of FA stock in exchange for the</w:t>
      </w:r>
      <w:r w:rsidR="00A8654A">
        <w:t xml:space="preserve"> </w:t>
      </w:r>
      <w:r w:rsidRPr="002C7929">
        <w:t>PRS properties increases the fair market value of FA’s assets by the fair market value</w:t>
      </w:r>
      <w:r w:rsidR="00A8654A">
        <w:t xml:space="preserve"> </w:t>
      </w:r>
      <w:r w:rsidRPr="002C7929">
        <w:t>of the PRS properties. Accordingly, pursuant to paragraph (b) of this section, the 25</w:t>
      </w:r>
      <w:r w:rsidR="00A8654A">
        <w:t xml:space="preserve"> </w:t>
      </w:r>
      <w:r w:rsidRPr="002C7929">
        <w:t>shares of FA stock transferred to PRS in exchange for the PRS properties are not</w:t>
      </w:r>
      <w:r w:rsidR="00757D7F">
        <w:t xml:space="preserve"> </w:t>
      </w:r>
      <w:r w:rsidRPr="002C7929">
        <w:t>included in the denominator of the ownership fraction. Furthermore, even in the</w:t>
      </w:r>
      <w:r w:rsidR="00757D7F">
        <w:t xml:space="preserve"> </w:t>
      </w:r>
      <w:r w:rsidRPr="002C7929">
        <w:t>absence of paragraph (</w:t>
      </w:r>
      <w:proofErr w:type="spellStart"/>
      <w:r w:rsidRPr="002C7929">
        <w:t>i</w:t>
      </w:r>
      <w:proofErr w:type="spellEnd"/>
      <w:proofErr w:type="gramStart"/>
      <w:r w:rsidRPr="002C7929">
        <w:t>)(</w:t>
      </w:r>
      <w:proofErr w:type="gramEnd"/>
      <w:r w:rsidRPr="002C7929">
        <w:t>7)(iv) of this section, the transfer of the PRS properties to FA</w:t>
      </w:r>
      <w:r w:rsidR="00757D7F">
        <w:t xml:space="preserve"> </w:t>
      </w:r>
      <w:r w:rsidRPr="002C7929">
        <w:t>would be disregarded pursuant to section 7874(c)(4). Therefore, the only FA stock</w:t>
      </w:r>
      <w:r w:rsidR="00757D7F">
        <w:t xml:space="preserve"> </w:t>
      </w:r>
      <w:r w:rsidRPr="002C7929">
        <w:t>included in the ownership fraction is the FA stock transferred to DT’s former</w:t>
      </w:r>
      <w:r w:rsidR="00757D7F">
        <w:t xml:space="preserve"> </w:t>
      </w:r>
      <w:r w:rsidRPr="002C7929">
        <w:t>shareholders in exchange for their DT stock, and that FA stock is included in both the</w:t>
      </w:r>
      <w:r w:rsidR="00757D7F">
        <w:t xml:space="preserve"> </w:t>
      </w:r>
      <w:r w:rsidRPr="002C7929">
        <w:t>numerator and the denominator of the ownership fraction. Thus, the ownership fraction</w:t>
      </w:r>
      <w:r w:rsidR="00757D7F">
        <w:t xml:space="preserve"> </w:t>
      </w:r>
      <w:r w:rsidRPr="002C7929">
        <w:t>is 75/75.</w:t>
      </w:r>
      <w:r w:rsidR="00757D7F">
        <w:t xml:space="preserve"> </w:t>
      </w:r>
      <w:r w:rsidR="00757D7F" w:rsidRPr="00757D7F">
        <w:rPr>
          <w:b/>
        </w:rPr>
        <w:t>[And, FA is treated as domestic.]</w:t>
      </w:r>
    </w:p>
    <w:p w:rsidR="00383700" w:rsidRDefault="00383700" w:rsidP="002C7929">
      <w:pPr>
        <w:ind w:left="720"/>
        <w:rPr>
          <w:b/>
        </w:rPr>
      </w:pPr>
    </w:p>
    <w:p w:rsidR="00D472A0" w:rsidRPr="00D472A0" w:rsidRDefault="00383700" w:rsidP="00D472A0">
      <w:r>
        <w:t xml:space="preserve">The </w:t>
      </w:r>
      <w:r w:rsidR="00E344F5">
        <w:t xml:space="preserve">above </w:t>
      </w:r>
      <w:r>
        <w:t xml:space="preserve">principles are illustrated in </w:t>
      </w:r>
      <w:r w:rsidR="00D472A0" w:rsidRPr="00D472A0">
        <w:t>SLIDE # 5 ANTI-STUFFING RULES</w:t>
      </w:r>
      <w:r w:rsidR="00D472A0">
        <w:t>,</w:t>
      </w:r>
      <w:r w:rsidR="00D472A0" w:rsidRPr="00D472A0">
        <w:t xml:space="preserve"> REG. §1.7874-4T, EXAMPLE 3</w:t>
      </w:r>
      <w:r w:rsidR="00D472A0">
        <w:t>.</w:t>
      </w:r>
    </w:p>
    <w:p w:rsidR="00521413" w:rsidRPr="00521413" w:rsidRDefault="004B3672" w:rsidP="00B34C4A">
      <w:pPr>
        <w:pStyle w:val="Heading2"/>
      </w:pPr>
      <w:bookmarkStart w:id="67" w:name="_Toc449441986"/>
      <w:r w:rsidRPr="0088734C">
        <w:t>CALCULATION OF THE OWNERSHIP PERCENTAGE</w:t>
      </w:r>
      <w:r>
        <w:t>:</w:t>
      </w:r>
      <w:r w:rsidRPr="0088734C">
        <w:t xml:space="preserve"> </w:t>
      </w:r>
      <w:r w:rsidRPr="00521413">
        <w:t>THE PASSIVE ASSET RULE</w:t>
      </w:r>
      <w:r>
        <w:t xml:space="preserve">, WHICH IS THE ANTI-CASH BOX RULE OF THE 2014 NOTICE, </w:t>
      </w:r>
      <w:r w:rsidR="006768D3">
        <w:t xml:space="preserve">§ </w:t>
      </w:r>
      <w:r w:rsidRPr="00521413">
        <w:t>1.7874-7T</w:t>
      </w:r>
      <w:bookmarkEnd w:id="67"/>
    </w:p>
    <w:p w:rsidR="00521413" w:rsidRDefault="00EF4679" w:rsidP="00521413">
      <w:r>
        <w:t xml:space="preserve">The preamble to the </w:t>
      </w:r>
      <w:r w:rsidR="00FF01B3">
        <w:t xml:space="preserve">2016 General Inversion </w:t>
      </w:r>
      <w:proofErr w:type="spellStart"/>
      <w:r w:rsidR="00FF01B3">
        <w:t>Regs</w:t>
      </w:r>
      <w:proofErr w:type="spellEnd"/>
      <w:r>
        <w:t xml:space="preserve"> </w:t>
      </w:r>
      <w:r w:rsidR="00521413" w:rsidRPr="0024204B">
        <w:t>sets forth</w:t>
      </w:r>
      <w:r w:rsidR="000E08F0">
        <w:t xml:space="preserve"> as follows the background of</w:t>
      </w:r>
      <w:r w:rsidR="00521413" w:rsidRPr="0024204B">
        <w:t xml:space="preserve"> the </w:t>
      </w:r>
      <w:r w:rsidR="00333525">
        <w:t>“</w:t>
      </w:r>
      <w:r w:rsidR="00521413" w:rsidRPr="0024204B">
        <w:t>passive assets rule</w:t>
      </w:r>
      <w:r w:rsidR="00814021">
        <w:t>,</w:t>
      </w:r>
      <w:r w:rsidR="00333525">
        <w:t>”</w:t>
      </w:r>
      <w:r w:rsidR="00814021">
        <w:t xml:space="preserve"> which is based on the Anti-Cash Box rule</w:t>
      </w:r>
      <w:r w:rsidR="00333525">
        <w:t xml:space="preserve"> of the </w:t>
      </w:r>
      <w:r w:rsidR="00333525" w:rsidRPr="0024204B">
        <w:t>2014</w:t>
      </w:r>
      <w:r w:rsidR="00333525">
        <w:t xml:space="preserve"> Notice</w:t>
      </w:r>
      <w:r w:rsidR="00DB0763">
        <w:t xml:space="preserve">:  </w:t>
      </w:r>
      <w:r w:rsidR="00770111">
        <w:t xml:space="preserve"> </w:t>
      </w:r>
    </w:p>
    <w:p w:rsidR="000E08F0" w:rsidRPr="0024204B" w:rsidRDefault="000E08F0" w:rsidP="00E24E49">
      <w:pPr>
        <w:ind w:left="720"/>
      </w:pPr>
    </w:p>
    <w:p w:rsidR="0024204B" w:rsidRDefault="000F192E" w:rsidP="00E24E49">
      <w:pPr>
        <w:ind w:left="720"/>
      </w:pPr>
      <w:r>
        <w:t>Section</w:t>
      </w:r>
      <w:r w:rsidR="0024204B" w:rsidRPr="0024204B">
        <w:t xml:space="preserve"> 2.01(b) of the 2014 notice announced that future regulations would</w:t>
      </w:r>
      <w:r w:rsidR="00B845CA">
        <w:t xml:space="preserve"> </w:t>
      </w:r>
      <w:r w:rsidR="0024204B" w:rsidRPr="0024204B">
        <w:t>include a rule (the passive assets rule) that would exclude from the denominator of the</w:t>
      </w:r>
      <w:r w:rsidR="00B845CA">
        <w:t xml:space="preserve"> </w:t>
      </w:r>
      <w:r w:rsidR="0024204B" w:rsidRPr="0024204B">
        <w:t>ownership fraction stock of a foreign acquiring corporation that is attributable to certain</w:t>
      </w:r>
      <w:r w:rsidR="00B845CA">
        <w:t xml:space="preserve"> </w:t>
      </w:r>
      <w:r w:rsidR="0024204B" w:rsidRPr="0024204B">
        <w:t xml:space="preserve">passive </w:t>
      </w:r>
      <w:r w:rsidR="0024204B" w:rsidRPr="0024204B">
        <w:lastRenderedPageBreak/>
        <w:t>assets, but only if, after the domestic entity acquisition and all related</w:t>
      </w:r>
      <w:r w:rsidR="00B845CA">
        <w:t xml:space="preserve"> </w:t>
      </w:r>
      <w:r w:rsidR="0024204B" w:rsidRPr="0024204B">
        <w:t>transactions are complete, more than 50 percent of the gross value of all foreign group</w:t>
      </w:r>
      <w:r w:rsidR="00B845CA">
        <w:t xml:space="preserve"> </w:t>
      </w:r>
      <w:r w:rsidR="0024204B" w:rsidRPr="0024204B">
        <w:t>property constitutes certain passive assets (referred to in the notice and temporary</w:t>
      </w:r>
      <w:r w:rsidR="00B845CA">
        <w:t xml:space="preserve"> </w:t>
      </w:r>
      <w:r w:rsidR="0024204B" w:rsidRPr="0024204B">
        <w:t xml:space="preserve">regulations as “foreign group nonqualified property”). See </w:t>
      </w:r>
      <w:r>
        <w:t>Section</w:t>
      </w:r>
      <w:r w:rsidR="0024204B" w:rsidRPr="0024204B">
        <w:t xml:space="preserve"> b of this Part I.B.2 for</w:t>
      </w:r>
      <w:r w:rsidR="00B42B8D">
        <w:t xml:space="preserve"> </w:t>
      </w:r>
      <w:r w:rsidR="0024204B" w:rsidRPr="0024204B">
        <w:t>the definition of foreign group property and foreign group nonqualified property. The</w:t>
      </w:r>
      <w:r w:rsidR="00B42B8D">
        <w:t xml:space="preserve"> </w:t>
      </w:r>
      <w:r w:rsidR="0024204B" w:rsidRPr="0024204B">
        <w:t>temporary regulations implement the passive assets rule described in the 2014 notice,</w:t>
      </w:r>
      <w:r w:rsidR="008D7CC2">
        <w:t xml:space="preserve"> </w:t>
      </w:r>
      <w:r w:rsidR="0024204B" w:rsidRPr="0024204B">
        <w:t xml:space="preserve">subject to the modifications described in </w:t>
      </w:r>
      <w:r>
        <w:t>Section</w:t>
      </w:r>
      <w:r w:rsidR="0024204B" w:rsidRPr="0024204B">
        <w:t xml:space="preserve"> c of this Part I.B.2.</w:t>
      </w:r>
      <w:r w:rsidR="008D7CC2">
        <w:t xml:space="preserve"> </w:t>
      </w:r>
    </w:p>
    <w:p w:rsidR="008D7CC2" w:rsidRPr="0024204B" w:rsidRDefault="008D7CC2" w:rsidP="00E24E49">
      <w:pPr>
        <w:ind w:left="720"/>
      </w:pPr>
    </w:p>
    <w:p w:rsidR="00E24E49" w:rsidRDefault="0024204B" w:rsidP="00E24E49">
      <w:pPr>
        <w:ind w:left="720"/>
      </w:pPr>
      <w:r w:rsidRPr="0024204B">
        <w:t>The 2014 notice provides that the amount of stock that will be excluded under the</w:t>
      </w:r>
      <w:r w:rsidR="008D7CC2">
        <w:t xml:space="preserve"> </w:t>
      </w:r>
      <w:r w:rsidRPr="0024204B">
        <w:t>passive assets rule is equal to the product of (</w:t>
      </w:r>
      <w:proofErr w:type="spellStart"/>
      <w:r w:rsidRPr="0024204B">
        <w:t>i</w:t>
      </w:r>
      <w:proofErr w:type="spellEnd"/>
      <w:r w:rsidRPr="0024204B">
        <w:t>) the value of the stock of the foreign</w:t>
      </w:r>
      <w:r w:rsidR="00EF4679">
        <w:t xml:space="preserve"> </w:t>
      </w:r>
      <w:r w:rsidRPr="0024204B">
        <w:t xml:space="preserve">acquiring corporation, other than stock that is described in </w:t>
      </w:r>
      <w:r w:rsidR="000F192E">
        <w:t>Section</w:t>
      </w:r>
      <w:r w:rsidRPr="0024204B">
        <w:t xml:space="preserve"> 7874(a)(2)(B)(ii) (that</w:t>
      </w:r>
      <w:r w:rsidR="00E24E49">
        <w:t xml:space="preserve"> </w:t>
      </w:r>
      <w:r w:rsidRPr="0024204B">
        <w:t>is, by-reason-of stock) and stock that is excluded from the denominator of the</w:t>
      </w:r>
      <w:r w:rsidR="00E24E49">
        <w:t xml:space="preserve"> </w:t>
      </w:r>
      <w:r w:rsidRPr="0024204B">
        <w:t>ownership fraction under either §1.7874-1(b) (because it is held by a member of the</w:t>
      </w:r>
      <w:r w:rsidR="00E24E49">
        <w:t xml:space="preserve"> </w:t>
      </w:r>
      <w:r w:rsidRPr="0024204B">
        <w:t>EAG) or §1.7874-4T(b) (because it is disqualified stock); and (ii) the foreign group</w:t>
      </w:r>
      <w:r w:rsidR="00E24E49">
        <w:t xml:space="preserve"> </w:t>
      </w:r>
      <w:r w:rsidRPr="0024204B">
        <w:t>nonqualified property fraction. The numerator of the foreign group nonqualified property</w:t>
      </w:r>
      <w:r w:rsidR="00E24E49">
        <w:t xml:space="preserve"> </w:t>
      </w:r>
      <w:r w:rsidRPr="0024204B">
        <w:t>fraction is the gross value of all foreign group nonqualified property, and the</w:t>
      </w:r>
      <w:r w:rsidR="00E24E49">
        <w:t xml:space="preserve"> </w:t>
      </w:r>
      <w:r w:rsidRPr="0024204B">
        <w:t>denominator is the gross value of all foreign group property.</w:t>
      </w:r>
      <w:r w:rsidR="0059460D">
        <w:rPr>
          <w:rStyle w:val="FootnoteReference"/>
        </w:rPr>
        <w:footnoteReference w:id="9"/>
      </w:r>
      <w:r w:rsidRPr="0024204B">
        <w:t xml:space="preserve"> </w:t>
      </w:r>
    </w:p>
    <w:p w:rsidR="00E24E49" w:rsidRDefault="00E24E49" w:rsidP="0024204B"/>
    <w:p w:rsidR="000965B9" w:rsidRDefault="00292A7A" w:rsidP="0024204B">
      <w:r>
        <w:t xml:space="preserve">Subject to a </w:t>
      </w:r>
      <w:r w:rsidRPr="00B6468C">
        <w:rPr>
          <w:i/>
        </w:rPr>
        <w:t xml:space="preserve">de </w:t>
      </w:r>
      <w:proofErr w:type="spellStart"/>
      <w:r w:rsidRPr="00B6468C">
        <w:rPr>
          <w:i/>
        </w:rPr>
        <w:t>minimis</w:t>
      </w:r>
      <w:proofErr w:type="spellEnd"/>
      <w:r>
        <w:t xml:space="preserve"> exception, </w:t>
      </w:r>
      <w:r w:rsidR="000F192E">
        <w:t>Section</w:t>
      </w:r>
      <w:r w:rsidR="00FB3600" w:rsidRPr="0024204B">
        <w:t xml:space="preserve"> 1.7874-</w:t>
      </w:r>
      <w:proofErr w:type="gramStart"/>
      <w:r w:rsidR="00FB3600" w:rsidRPr="0024204B">
        <w:t>7T</w:t>
      </w:r>
      <w:r w:rsidR="000A3C9B">
        <w:t>(</w:t>
      </w:r>
      <w:proofErr w:type="gramEnd"/>
      <w:r w:rsidR="000A3C9B">
        <w:t>b)</w:t>
      </w:r>
      <w:r w:rsidR="000965B9">
        <w:t xml:space="preserve"> implements the above rule with the following </w:t>
      </w:r>
      <w:r w:rsidR="000A3C9B">
        <w:t xml:space="preserve">general rule: </w:t>
      </w:r>
      <w:r w:rsidR="000965B9">
        <w:t xml:space="preserve"> </w:t>
      </w:r>
    </w:p>
    <w:p w:rsidR="000965B9" w:rsidRDefault="000965B9" w:rsidP="0024204B"/>
    <w:p w:rsidR="000965B9" w:rsidRDefault="00343F5C" w:rsidP="007E0BBD">
      <w:pPr>
        <w:ind w:left="720"/>
      </w:pPr>
      <w:r w:rsidRPr="000965B9">
        <w:t xml:space="preserve"> </w:t>
      </w:r>
      <w:r w:rsidR="000965B9" w:rsidRPr="000965B9">
        <w:t xml:space="preserve">(b) </w:t>
      </w:r>
      <w:r w:rsidR="000965B9" w:rsidRPr="000A3C9B">
        <w:rPr>
          <w:i/>
        </w:rPr>
        <w:t>General rule</w:t>
      </w:r>
      <w:r w:rsidR="000965B9" w:rsidRPr="000965B9">
        <w:t>. If, on the completion date</w:t>
      </w:r>
      <w:r w:rsidR="00DB5075">
        <w:t xml:space="preserve"> [i.e., the date the domestic corporation is acquired]</w:t>
      </w:r>
      <w:r w:rsidR="0019462A">
        <w:t>,</w:t>
      </w:r>
      <w:r w:rsidR="000965B9" w:rsidRPr="000965B9">
        <w:t xml:space="preserve"> more than fifty percent of the gross</w:t>
      </w:r>
      <w:r w:rsidR="0019462A">
        <w:t xml:space="preserve"> </w:t>
      </w:r>
      <w:r w:rsidR="000965B9" w:rsidRPr="000965B9">
        <w:t>value of all foreign group property constitutes foreign group nonqualified property</w:t>
      </w:r>
      <w:r w:rsidR="00943A6D">
        <w:t xml:space="preserve"> [i.e., certain passive assets]</w:t>
      </w:r>
      <w:r w:rsidR="000965B9" w:rsidRPr="000965B9">
        <w:t>, then</w:t>
      </w:r>
      <w:r w:rsidR="0019462A">
        <w:t xml:space="preserve"> </w:t>
      </w:r>
      <w:r w:rsidR="000965B9" w:rsidRPr="000965B9">
        <w:t>stock of the foreign acquiring corporation is excluded from the denominator of the</w:t>
      </w:r>
      <w:r w:rsidR="0019462A">
        <w:t xml:space="preserve"> </w:t>
      </w:r>
      <w:r w:rsidR="000965B9" w:rsidRPr="000965B9">
        <w:t>ownership fraction in an amount equal to the product of</w:t>
      </w:r>
      <w:r w:rsidR="0019462A">
        <w:t>—</w:t>
      </w:r>
    </w:p>
    <w:p w:rsidR="0019462A" w:rsidRPr="000965B9" w:rsidRDefault="0019462A" w:rsidP="007E0BBD">
      <w:pPr>
        <w:ind w:left="720"/>
      </w:pPr>
    </w:p>
    <w:p w:rsidR="000965B9" w:rsidRPr="000965B9" w:rsidRDefault="000965B9" w:rsidP="007E0BBD">
      <w:pPr>
        <w:ind w:left="1440"/>
      </w:pPr>
      <w:r w:rsidRPr="000965B9">
        <w:t xml:space="preserve">(1) The value of </w:t>
      </w:r>
      <w:r w:rsidR="00FE2E66">
        <w:t xml:space="preserve">[subject to certain exceptions] </w:t>
      </w:r>
      <w:r w:rsidRPr="000965B9">
        <w:t xml:space="preserve">the stock of the foreign acquiring corporation </w:t>
      </w:r>
      <w:r w:rsidR="00FE2E66">
        <w:t>. . .</w:t>
      </w:r>
      <w:r w:rsidRPr="000965B9">
        <w:t>; and</w:t>
      </w:r>
    </w:p>
    <w:p w:rsidR="000965B9" w:rsidRDefault="000965B9" w:rsidP="007E0BBD">
      <w:pPr>
        <w:ind w:left="1440"/>
      </w:pPr>
      <w:r w:rsidRPr="000965B9">
        <w:t>(2) The foreign group nonqualified property fraction</w:t>
      </w:r>
      <w:r w:rsidR="005A79A5">
        <w:t xml:space="preserve"> </w:t>
      </w:r>
      <w:r w:rsidR="006560EA">
        <w:t xml:space="preserve">  [</w:t>
      </w:r>
      <w:r w:rsidR="00943A6D">
        <w:t xml:space="preserve">i.e., </w:t>
      </w:r>
      <w:r w:rsidR="006560EA">
        <w:t>the nonqualified property over all property]</w:t>
      </w:r>
      <w:r w:rsidRPr="000965B9">
        <w:t>.</w:t>
      </w:r>
    </w:p>
    <w:p w:rsidR="000D5E2C" w:rsidRDefault="000D5E2C" w:rsidP="007E0BBD">
      <w:pPr>
        <w:ind w:left="1440"/>
      </w:pPr>
    </w:p>
    <w:p w:rsidR="000D5E2C" w:rsidRDefault="000D5E2C" w:rsidP="000D5E2C">
      <w:r>
        <w:t xml:space="preserve">The above principles are illustrated in Example 1 of </w:t>
      </w:r>
      <w:r w:rsidR="0032356E">
        <w:t>§1.7874-</w:t>
      </w:r>
      <w:proofErr w:type="gramStart"/>
      <w:r w:rsidR="0032356E">
        <w:t>7</w:t>
      </w:r>
      <w:r w:rsidR="005751D7">
        <w:t>T(</w:t>
      </w:r>
      <w:proofErr w:type="gramEnd"/>
      <w:r w:rsidR="005751D7">
        <w:t>g)</w:t>
      </w:r>
      <w:r w:rsidR="0032356E">
        <w:t>:</w:t>
      </w:r>
    </w:p>
    <w:p w:rsidR="0032356E" w:rsidRPr="000D5E2C" w:rsidRDefault="0032356E" w:rsidP="000D5E2C"/>
    <w:p w:rsidR="000D5E2C" w:rsidRDefault="000D5E2C" w:rsidP="00D138DE">
      <w:pPr>
        <w:ind w:left="720"/>
      </w:pPr>
      <w:proofErr w:type="gramStart"/>
      <w:r w:rsidRPr="000D5E2C">
        <w:t>Example 1.</w:t>
      </w:r>
      <w:proofErr w:type="gramEnd"/>
      <w:r w:rsidRPr="000D5E2C">
        <w:t xml:space="preserve"> </w:t>
      </w:r>
      <w:proofErr w:type="gramStart"/>
      <w:r w:rsidRPr="000D5E2C">
        <w:t>Application of general rule--(</w:t>
      </w:r>
      <w:proofErr w:type="spellStart"/>
      <w:r w:rsidRPr="000D5E2C">
        <w:t>i</w:t>
      </w:r>
      <w:proofErr w:type="spellEnd"/>
      <w:r w:rsidRPr="000D5E2C">
        <w:t xml:space="preserve">) </w:t>
      </w:r>
      <w:r w:rsidRPr="0032356E">
        <w:rPr>
          <w:i/>
        </w:rPr>
        <w:t>Facts</w:t>
      </w:r>
      <w:r w:rsidRPr="000D5E2C">
        <w:t>.</w:t>
      </w:r>
      <w:proofErr w:type="gramEnd"/>
      <w:r w:rsidRPr="000D5E2C">
        <w:t xml:space="preserve"> Individual A owns all 20 shares</w:t>
      </w:r>
      <w:r w:rsidR="0032356E">
        <w:t xml:space="preserve"> </w:t>
      </w:r>
      <w:r w:rsidRPr="000D5E2C">
        <w:t>of the sole class of stock of FA, a foreign corporation. FA acquires all the stock of DT, a</w:t>
      </w:r>
      <w:r w:rsidR="0032356E">
        <w:t xml:space="preserve"> </w:t>
      </w:r>
      <w:r w:rsidRPr="000D5E2C">
        <w:t>domestic corporation, solely in exchange for 76 shares of newly issued FA stock (DT</w:t>
      </w:r>
      <w:r w:rsidR="0032356E">
        <w:t xml:space="preserve"> </w:t>
      </w:r>
      <w:r w:rsidRPr="000D5E2C">
        <w:t>acquisition). In a transaction related to the DT acquisition, FA issues 4 shares of stock</w:t>
      </w:r>
      <w:r w:rsidR="00731B52">
        <w:t xml:space="preserve"> </w:t>
      </w:r>
      <w:r w:rsidRPr="000D5E2C">
        <w:t>to Individual A in exchange for Asset A, which has a gross value of $50x. On the</w:t>
      </w:r>
      <w:r w:rsidR="00731B52">
        <w:t xml:space="preserve"> </w:t>
      </w:r>
      <w:r w:rsidRPr="000D5E2C">
        <w:t>completion date, in addition to the DT stock and Asset A, FA holds Asset B, which has a</w:t>
      </w:r>
      <w:r w:rsidR="00731B52">
        <w:t xml:space="preserve"> </w:t>
      </w:r>
      <w:r w:rsidRPr="000D5E2C">
        <w:t>gross value of $150x, and Asset C, which has a gross value of $100x. Assets A and B,</w:t>
      </w:r>
      <w:r w:rsidR="00731B52">
        <w:t xml:space="preserve"> </w:t>
      </w:r>
      <w:r w:rsidRPr="000D5E2C">
        <w:t>but not Asset C, are nonqualified property (within the meaning of §1.7874-</w:t>
      </w:r>
      <w:proofErr w:type="gramStart"/>
      <w:r w:rsidRPr="000D5E2C">
        <w:t>4T(</w:t>
      </w:r>
      <w:proofErr w:type="spellStart"/>
      <w:proofErr w:type="gramEnd"/>
      <w:r w:rsidRPr="000D5E2C">
        <w:t>i</w:t>
      </w:r>
      <w:proofErr w:type="spellEnd"/>
      <w:r w:rsidRPr="000D5E2C">
        <w:t>)(7)).</w:t>
      </w:r>
      <w:r w:rsidR="00731B52">
        <w:t xml:space="preserve"> </w:t>
      </w:r>
      <w:r w:rsidRPr="000D5E2C">
        <w:t>Further, Asset C was not acquired in a transaction related to the DT acquisition.</w:t>
      </w:r>
    </w:p>
    <w:p w:rsidR="00731B52" w:rsidRPr="000D5E2C" w:rsidRDefault="00731B52" w:rsidP="00D138DE">
      <w:pPr>
        <w:ind w:left="720"/>
      </w:pPr>
    </w:p>
    <w:p w:rsidR="000D5E2C" w:rsidRDefault="000D5E2C" w:rsidP="00D138DE">
      <w:pPr>
        <w:ind w:left="720"/>
      </w:pPr>
      <w:r w:rsidRPr="000D5E2C">
        <w:lastRenderedPageBreak/>
        <w:t>(ii) Analysis. The 4 shares of FA stock issued to Individual A in exchange for</w:t>
      </w:r>
      <w:r w:rsidR="00731B52">
        <w:t xml:space="preserve"> </w:t>
      </w:r>
      <w:r w:rsidRPr="000D5E2C">
        <w:t>Asset A are disqualified stock under §1.7874-4T(c) and are excluded from the</w:t>
      </w:r>
      <w:r w:rsidR="00E6015C">
        <w:t xml:space="preserve"> </w:t>
      </w:r>
      <w:r w:rsidRPr="000D5E2C">
        <w:t>denominator of the ownership fraction pursuant to §1.7874-4T(b). Furthermore,</w:t>
      </w:r>
      <w:r w:rsidR="00E6015C">
        <w:t xml:space="preserve"> </w:t>
      </w:r>
      <w:r w:rsidRPr="000D5E2C">
        <w:t>additional shares of FA stock are excluded from the denominator of the ownership</w:t>
      </w:r>
      <w:r w:rsidR="00E6015C">
        <w:t xml:space="preserve"> </w:t>
      </w:r>
      <w:r w:rsidRPr="000D5E2C">
        <w:t>fraction pursuant to paragraph (b) of this section. This is because on the completion</w:t>
      </w:r>
      <w:r w:rsidR="00E6015C">
        <w:t xml:space="preserve"> </w:t>
      </w:r>
      <w:r w:rsidRPr="000D5E2C">
        <w:t>date, the gross value of all foreign group property is $300x (the sum of the gross values</w:t>
      </w:r>
      <w:r w:rsidR="00E6015C">
        <w:t xml:space="preserve"> </w:t>
      </w:r>
      <w:r w:rsidRPr="000D5E2C">
        <w:t>of Assets A, B, and C), the gross value of all foreign group nonqualified property is</w:t>
      </w:r>
      <w:r w:rsidR="00E6015C">
        <w:t xml:space="preserve"> </w:t>
      </w:r>
      <w:r w:rsidRPr="000D5E2C">
        <w:t>$200x (the sum of the gross values of Assets A and B), and thus 66.67% of the gross</w:t>
      </w:r>
      <w:r w:rsidR="00E6015C">
        <w:t xml:space="preserve"> </w:t>
      </w:r>
      <w:r w:rsidRPr="000D5E2C">
        <w:t>value of all foreign group property constitutes foreign group nonqualified property</w:t>
      </w:r>
      <w:r w:rsidR="00E6015C">
        <w:t xml:space="preserve"> </w:t>
      </w:r>
      <w:r w:rsidRPr="000D5E2C">
        <w:t>($200x/$300x). Because FA has only one class of stock outstanding, the shares of FA</w:t>
      </w:r>
      <w:r w:rsidR="00B852E5">
        <w:t xml:space="preserve"> </w:t>
      </w:r>
      <w:r w:rsidRPr="000D5E2C">
        <w:t>stock that are excluded from the denominator of the ownership fraction pursuant to</w:t>
      </w:r>
      <w:r w:rsidR="00B852E5">
        <w:t xml:space="preserve"> </w:t>
      </w:r>
      <w:r w:rsidRPr="000D5E2C">
        <w:t>paragraph (b) of this section are calculated by multiplying 20 shares of FA stock (100</w:t>
      </w:r>
      <w:r w:rsidR="00B852E5">
        <w:t xml:space="preserve"> </w:t>
      </w:r>
      <w:r w:rsidRPr="000D5E2C">
        <w:t>shares less the 76 shares described in section 7874(a</w:t>
      </w:r>
      <w:proofErr w:type="gramStart"/>
      <w:r w:rsidRPr="000D5E2C">
        <w:t>)(</w:t>
      </w:r>
      <w:proofErr w:type="gramEnd"/>
      <w:r w:rsidRPr="000D5E2C">
        <w:t>2)(B)(ii) and the 4 shares of</w:t>
      </w:r>
      <w:r w:rsidR="00B852E5">
        <w:t xml:space="preserve"> </w:t>
      </w:r>
      <w:r w:rsidRPr="000D5E2C">
        <w:t>disqualified stock) by the foreign group nonqualified property fraction. The numerator of</w:t>
      </w:r>
      <w:r w:rsidR="00B852E5">
        <w:t xml:space="preserve"> </w:t>
      </w:r>
      <w:r w:rsidRPr="000D5E2C">
        <w:t>the foreign group nonqualified property fraction is $150x (the gross value of Asset B)</w:t>
      </w:r>
      <w:r w:rsidR="00B852E5">
        <w:t xml:space="preserve"> </w:t>
      </w:r>
      <w:r w:rsidRPr="000D5E2C">
        <w:t>and the denominator is $250x (the sum of the gross values of Assets B and C).</w:t>
      </w:r>
      <w:r w:rsidR="00D138DE">
        <w:t xml:space="preserve">  </w:t>
      </w:r>
      <w:r w:rsidRPr="000D5E2C">
        <w:t>Accordingly, 12 shares of FA stock are excluded from the denominator of the ownership</w:t>
      </w:r>
      <w:r w:rsidR="00D138DE">
        <w:t xml:space="preserve"> </w:t>
      </w:r>
      <w:r w:rsidRPr="000D5E2C">
        <w:t>fraction pursuant to paragraph (b) of this section (20 shares multiplied by $150x/$250x).</w:t>
      </w:r>
      <w:r w:rsidR="00D138DE">
        <w:t xml:space="preserve">  </w:t>
      </w:r>
      <w:r w:rsidRPr="000D5E2C">
        <w:t>Thus, a total of 16 shares are excluded from the denominator of the ownership fraction</w:t>
      </w:r>
      <w:r w:rsidR="00D138DE">
        <w:t xml:space="preserve"> </w:t>
      </w:r>
      <w:r w:rsidRPr="000D5E2C">
        <w:t>(4 + 12). As a result, the ownership fraction is 76/84.</w:t>
      </w:r>
    </w:p>
    <w:p w:rsidR="00E344F5" w:rsidRDefault="00E344F5" w:rsidP="00D138DE">
      <w:pPr>
        <w:ind w:left="720"/>
      </w:pPr>
    </w:p>
    <w:p w:rsidR="00E344F5" w:rsidRDefault="00E344F5" w:rsidP="00E344F5">
      <w:r>
        <w:t>The above principles are illustrated in</w:t>
      </w:r>
      <w:r w:rsidR="006F1517">
        <w:t xml:space="preserve"> </w:t>
      </w:r>
      <w:r w:rsidR="006F1517" w:rsidRPr="0098697F">
        <w:t xml:space="preserve">SLIDE #6 THE ANTI-CASH BOX RULE, </w:t>
      </w:r>
      <w:r w:rsidR="006F1517">
        <w:t xml:space="preserve">REG </w:t>
      </w:r>
      <w:r w:rsidR="006F1517" w:rsidRPr="0098697F">
        <w:t>§ 1.7874-7T</w:t>
      </w:r>
      <w:r w:rsidR="006F1517">
        <w:t xml:space="preserve">.  </w:t>
      </w:r>
    </w:p>
    <w:p w:rsidR="00F45566" w:rsidRPr="00521413" w:rsidRDefault="00092879" w:rsidP="00B34C4A">
      <w:pPr>
        <w:pStyle w:val="Heading2"/>
      </w:pPr>
      <w:bookmarkStart w:id="68" w:name="_Toc449441987"/>
      <w:r w:rsidRPr="0088734C">
        <w:t>CALCULATION OF THE OWNERSHIP PERCENTAGE</w:t>
      </w:r>
      <w:r>
        <w:t>:</w:t>
      </w:r>
      <w:r w:rsidRPr="0088734C">
        <w:t xml:space="preserve"> </w:t>
      </w:r>
      <w:r w:rsidRPr="00521413">
        <w:t>THE</w:t>
      </w:r>
      <w:r>
        <w:t xml:space="preserve"> ACQUISITION OF MULTIPLE DOMESTIC ENTITIES RULE, THE PFIZER RULE, </w:t>
      </w:r>
      <w:r w:rsidR="006768D3">
        <w:t xml:space="preserve">§ </w:t>
      </w:r>
      <w:r w:rsidRPr="00521413">
        <w:t>1.7874-</w:t>
      </w:r>
      <w:r>
        <w:t>8</w:t>
      </w:r>
      <w:r w:rsidRPr="00521413">
        <w:t>T</w:t>
      </w:r>
      <w:bookmarkEnd w:id="68"/>
    </w:p>
    <w:p w:rsidR="0024204B" w:rsidRDefault="0024204B"/>
    <w:p w:rsidR="007F2675" w:rsidRDefault="000F192E" w:rsidP="00DB3EEA">
      <w:r>
        <w:t>Section</w:t>
      </w:r>
      <w:r w:rsidR="007B0E71" w:rsidRPr="007B0E71">
        <w:t xml:space="preserve"> 1.7874-8T of the </w:t>
      </w:r>
      <w:r w:rsidR="00FF01B3">
        <w:t xml:space="preserve">2016 General Inversion </w:t>
      </w:r>
      <w:proofErr w:type="spellStart"/>
      <w:r w:rsidR="00FF01B3">
        <w:t>Regs</w:t>
      </w:r>
      <w:proofErr w:type="spellEnd"/>
      <w:r w:rsidR="00A853D3">
        <w:t>, which has no comparable part in the 2014 and 2015 Notices,</w:t>
      </w:r>
      <w:r w:rsidR="007B0E71" w:rsidRPr="007B0E71">
        <w:t xml:space="preserve"> is directed </w:t>
      </w:r>
      <w:r w:rsidR="00DB3EEA">
        <w:t xml:space="preserve">at transactions like the </w:t>
      </w:r>
      <w:r w:rsidR="007B0E71" w:rsidRPr="007B0E71">
        <w:t>Pfizer-Allergan inversion</w:t>
      </w:r>
      <w:r w:rsidR="000007C1">
        <w:t>.</w:t>
      </w:r>
      <w:r w:rsidR="004D34D0">
        <w:t xml:space="preserve">  </w:t>
      </w:r>
      <w:r w:rsidR="004D5605">
        <w:t>Allergan, which is based in Ireland, was the “right size” so that the merger with Pfizer would give the Pfizer</w:t>
      </w:r>
      <w:r w:rsidR="00DA1F2F">
        <w:t xml:space="preserve"> shareholders </w:t>
      </w:r>
      <w:r w:rsidR="007F2675">
        <w:t xml:space="preserve">an Ownership Percentage of </w:t>
      </w:r>
      <w:r w:rsidR="004D5605">
        <w:t>approximately 53% of the stock of the resulting firm, thereby avoiding</w:t>
      </w:r>
      <w:r w:rsidR="007F2675">
        <w:t xml:space="preserve"> </w:t>
      </w:r>
      <w:r>
        <w:t>Section</w:t>
      </w:r>
      <w:r w:rsidR="00F93EAA">
        <w:t xml:space="preserve"> 7874</w:t>
      </w:r>
      <w:r w:rsidR="000428FF">
        <w:t>,</w:t>
      </w:r>
      <w:r w:rsidR="00F93EAA">
        <w:t xml:space="preserve"> although</w:t>
      </w:r>
      <w:r w:rsidR="00DA1F2F">
        <w:t xml:space="preserve"> still</w:t>
      </w:r>
      <w:r w:rsidR="00F93EAA">
        <w:t xml:space="preserve"> subject to the Gain Recognition Rule of </w:t>
      </w:r>
      <w:r>
        <w:t>Section</w:t>
      </w:r>
      <w:r w:rsidR="00F93EAA">
        <w:t xml:space="preserve"> 367(a).</w:t>
      </w:r>
      <w:r w:rsidR="000428FF">
        <w:t xml:space="preserve">  </w:t>
      </w:r>
    </w:p>
    <w:p w:rsidR="007F2675" w:rsidRDefault="007F2675" w:rsidP="00DB3EEA"/>
    <w:p w:rsidR="007B0E71" w:rsidRDefault="000428FF" w:rsidP="00DB3EEA">
      <w:r>
        <w:t xml:space="preserve">Allergan had grown to be the </w:t>
      </w:r>
      <w:r w:rsidR="00DA1F2F">
        <w:t>“</w:t>
      </w:r>
      <w:r>
        <w:t>right size</w:t>
      </w:r>
      <w:r w:rsidR="00DA1F2F">
        <w:t>”</w:t>
      </w:r>
      <w:r>
        <w:t xml:space="preserve"> </w:t>
      </w:r>
      <w:r w:rsidR="007F2675">
        <w:t xml:space="preserve">for a merger with Pfizer </w:t>
      </w:r>
      <w:r>
        <w:t>through the acquisition of U.S. corporations in inversions.</w:t>
      </w:r>
      <w:r w:rsidR="00DA1F2F">
        <w:t xml:space="preserve">  As a result of the rule in </w:t>
      </w:r>
      <w:r w:rsidR="000007C1">
        <w:t xml:space="preserve">§ </w:t>
      </w:r>
      <w:r w:rsidR="00DA1F2F" w:rsidRPr="007B0E71">
        <w:t>1.7874-8T</w:t>
      </w:r>
      <w:r w:rsidR="00D13FB3">
        <w:t xml:space="preserve">, </w:t>
      </w:r>
      <w:r w:rsidR="0010275D">
        <w:t>which is titled “</w:t>
      </w:r>
      <w:r w:rsidR="0010275D" w:rsidRPr="007F010F">
        <w:t>Disregard of certain stock attributable to multiple domestic entity</w:t>
      </w:r>
      <w:r w:rsidR="0010275D">
        <w:t xml:space="preserve"> a</w:t>
      </w:r>
      <w:r w:rsidR="0010275D" w:rsidRPr="007F010F">
        <w:t>cquisitions</w:t>
      </w:r>
      <w:r w:rsidR="0010275D">
        <w:t xml:space="preserve">,” </w:t>
      </w:r>
      <w:r w:rsidR="00D13FB3">
        <w:t>the stock issued by Allergan in the prior inversions was not included in the denominator of the Ownership Fraction</w:t>
      </w:r>
      <w:r w:rsidR="0010275D">
        <w:t>.  Con</w:t>
      </w:r>
      <w:r w:rsidR="00D13FB3">
        <w:t xml:space="preserve">sequently, </w:t>
      </w:r>
      <w:r w:rsidR="00BC0B87">
        <w:t>Allergan was no longer the “right size.”  Rather, the Pfizer shareholders</w:t>
      </w:r>
      <w:r w:rsidR="00676147">
        <w:t xml:space="preserve"> would have an Ownership Percentage of approximately 70%</w:t>
      </w:r>
      <w:r w:rsidR="00A9706B">
        <w:t>,</w:t>
      </w:r>
      <w:r w:rsidR="00676147">
        <w:t xml:space="preserve"> and as a consequence</w:t>
      </w:r>
      <w:r w:rsidR="00A9706B">
        <w:t>,</w:t>
      </w:r>
      <w:r w:rsidR="00676147">
        <w:t xml:space="preserve"> both the inversion gain rule and the Anti-Hop Scotch rule</w:t>
      </w:r>
      <w:r w:rsidR="00A9706B">
        <w:t>, discussed below</w:t>
      </w:r>
      <w:r w:rsidR="00676147">
        <w:t xml:space="preserve"> would apply.  Also, </w:t>
      </w:r>
      <w:r w:rsidR="00A9706B">
        <w:t xml:space="preserve">even without § </w:t>
      </w:r>
      <w:r w:rsidR="00A9706B" w:rsidRPr="007B0E71">
        <w:t>1.7874-8T</w:t>
      </w:r>
      <w:r w:rsidR="00A9706B">
        <w:t>,</w:t>
      </w:r>
      <w:r w:rsidR="00A9706B" w:rsidRPr="007B0E71">
        <w:t xml:space="preserve"> </w:t>
      </w:r>
      <w:r w:rsidR="00676147">
        <w:t>the 2016</w:t>
      </w:r>
      <w:r w:rsidR="00A9706B">
        <w:t xml:space="preserve"> </w:t>
      </w:r>
      <w:r w:rsidR="000F192E">
        <w:t>Section</w:t>
      </w:r>
      <w:r w:rsidR="00A9706B">
        <w:t xml:space="preserve"> 385 </w:t>
      </w:r>
      <w:proofErr w:type="spellStart"/>
      <w:r w:rsidR="00A9706B">
        <w:t>Regs</w:t>
      </w:r>
      <w:proofErr w:type="spellEnd"/>
      <w:r w:rsidR="00A9706B">
        <w:t xml:space="preserve"> would have applied to any efforts by Pfizer to enter into interest stripping transactions.</w:t>
      </w:r>
      <w:r w:rsidR="00FD5DEF">
        <w:t xml:space="preserve">  Thus, a</w:t>
      </w:r>
      <w:r w:rsidR="00B9256F">
        <w:t xml:space="preserve">s a result of the issuance </w:t>
      </w:r>
      <w:r w:rsidR="00FD5DEF">
        <w:t xml:space="preserve">on </w:t>
      </w:r>
      <w:r w:rsidR="008972B2">
        <w:t xml:space="preserve">April </w:t>
      </w:r>
      <w:r w:rsidR="006E4324">
        <w:t>4</w:t>
      </w:r>
      <w:r w:rsidR="00FD5DEF">
        <w:t xml:space="preserve"> of the 2016 General Inversion </w:t>
      </w:r>
      <w:proofErr w:type="spellStart"/>
      <w:r w:rsidR="00FD5DEF">
        <w:t>Regs</w:t>
      </w:r>
      <w:proofErr w:type="spellEnd"/>
      <w:r w:rsidR="00FD5DEF" w:rsidRPr="007B0E71">
        <w:t xml:space="preserve"> </w:t>
      </w:r>
      <w:r w:rsidR="007208D9">
        <w:t xml:space="preserve">and the 2016 </w:t>
      </w:r>
      <w:r w:rsidR="000F192E">
        <w:t>Section</w:t>
      </w:r>
      <w:r w:rsidR="007208D9">
        <w:t xml:space="preserve"> 385 </w:t>
      </w:r>
      <w:proofErr w:type="spellStart"/>
      <w:r w:rsidR="007208D9">
        <w:t>Regs</w:t>
      </w:r>
      <w:proofErr w:type="spellEnd"/>
      <w:r w:rsidR="00B9256F">
        <w:t>, Pfizer terminated the inversion on April 6, 2016</w:t>
      </w:r>
      <w:r w:rsidR="003467FF">
        <w:t xml:space="preserve">.  The Pfizer press release announcing the termination stated: </w:t>
      </w:r>
    </w:p>
    <w:p w:rsidR="003467FF" w:rsidRDefault="003467FF" w:rsidP="003E6B33">
      <w:pPr>
        <w:spacing w:before="100" w:beforeAutospacing="1" w:after="100" w:afterAutospacing="1"/>
        <w:ind w:left="720"/>
      </w:pPr>
      <w:r w:rsidRPr="003467FF">
        <w:lastRenderedPageBreak/>
        <w:t xml:space="preserve">Pfizer Inc. (NYSE: PFE) today announced that the merger agreement between Pfizer and Allergan plc (NYSE: AGN) has been terminated by mutual agreement of the companies. The decision was driven by the actions announced by the U.S. Department of Treasury on </w:t>
      </w:r>
      <w:r w:rsidR="006E4324">
        <w:t>April 4</w:t>
      </w:r>
      <w:r w:rsidRPr="003467FF">
        <w:t>, 2016, which the companies concluded qualified as an “Adverse Tax Law Change” under the merger agreement.</w:t>
      </w:r>
    </w:p>
    <w:p w:rsidR="0024204B" w:rsidRDefault="0016687B" w:rsidP="003D68DE">
      <w:r>
        <w:t xml:space="preserve">The preamble to the </w:t>
      </w:r>
      <w:r w:rsidR="00FF01B3">
        <w:t xml:space="preserve">2016 General Inversion </w:t>
      </w:r>
      <w:proofErr w:type="spellStart"/>
      <w:r w:rsidR="00FF01B3">
        <w:t>Regs</w:t>
      </w:r>
      <w:proofErr w:type="spellEnd"/>
      <w:r w:rsidR="00874AAC">
        <w:t xml:space="preserve"> discusses</w:t>
      </w:r>
      <w:r w:rsidR="00A1486B">
        <w:t xml:space="preserve"> as follows</w:t>
      </w:r>
      <w:r w:rsidR="00874AAC">
        <w:t xml:space="preserve"> the background of </w:t>
      </w:r>
      <w:r w:rsidR="00376216">
        <w:t xml:space="preserve">§ </w:t>
      </w:r>
      <w:r w:rsidR="00376216" w:rsidRPr="007B0E71">
        <w:t>1.7874-8T</w:t>
      </w:r>
      <w:r w:rsidR="003C1B00">
        <w:t xml:space="preserve">:  </w:t>
      </w:r>
    </w:p>
    <w:p w:rsidR="003D68DE" w:rsidRDefault="003D68DE" w:rsidP="003D68DE"/>
    <w:p w:rsidR="003D68DE" w:rsidRPr="003D68DE" w:rsidRDefault="003D68DE" w:rsidP="00A1486B">
      <w:pPr>
        <w:ind w:left="720"/>
      </w:pPr>
      <w:r w:rsidRPr="003D68DE">
        <w:t>3. Acquisitions of Multiple Domestic Entities</w:t>
      </w:r>
    </w:p>
    <w:p w:rsidR="003D68DE" w:rsidRPr="003D68DE" w:rsidRDefault="003D68DE" w:rsidP="00A1486B">
      <w:pPr>
        <w:ind w:left="720"/>
      </w:pPr>
      <w:r w:rsidRPr="003D68DE">
        <w:t>a. Transactions at issue</w:t>
      </w:r>
    </w:p>
    <w:p w:rsidR="003D68DE" w:rsidRDefault="003D68DE" w:rsidP="00A1486B">
      <w:pPr>
        <w:ind w:left="720"/>
      </w:pPr>
      <w:r w:rsidRPr="003D68DE">
        <w:t>The Treasury Department and the IRS are concerned that a single foreign</w:t>
      </w:r>
      <w:r w:rsidR="00D47133">
        <w:t xml:space="preserve"> </w:t>
      </w:r>
      <w:r w:rsidRPr="003D68DE">
        <w:t xml:space="preserve">acquiring corporation may avoid the application of </w:t>
      </w:r>
      <w:r w:rsidR="000F192E">
        <w:t>Section</w:t>
      </w:r>
      <w:r w:rsidRPr="003D68DE">
        <w:t xml:space="preserve"> 7874 by completing multiple</w:t>
      </w:r>
      <w:r w:rsidR="00D47133">
        <w:t xml:space="preserve"> </w:t>
      </w:r>
      <w:r w:rsidRPr="003D68DE">
        <w:t>domestic entity acquisitions over a relatively short period of time, in circumstances</w:t>
      </w:r>
      <w:r w:rsidR="00D47133">
        <w:t xml:space="preserve"> </w:t>
      </w:r>
      <w:r w:rsidRPr="003D68DE">
        <w:t xml:space="preserve">where </w:t>
      </w:r>
      <w:r w:rsidR="000F192E">
        <w:t>Section</w:t>
      </w:r>
      <w:r w:rsidRPr="003D68DE">
        <w:t xml:space="preserve"> 7874 would otherwise have applied if the acquisitions had been made at</w:t>
      </w:r>
      <w:r w:rsidR="00D47133">
        <w:t xml:space="preserve"> </w:t>
      </w:r>
      <w:r w:rsidRPr="003D68DE">
        <w:t>the same time or pursuant to a plan (or series of related transactions). In these</w:t>
      </w:r>
      <w:r w:rsidR="00D47133">
        <w:t xml:space="preserve"> </w:t>
      </w:r>
      <w:r w:rsidRPr="003D68DE">
        <w:t>situations, the value of the foreign acquiring corporation increases to the extent it issues</w:t>
      </w:r>
      <w:r w:rsidR="00D47133">
        <w:t xml:space="preserve"> </w:t>
      </w:r>
      <w:r w:rsidRPr="003D68DE">
        <w:t>stock in connection with each successive domestic entity acquisition, thereby enabling</w:t>
      </w:r>
      <w:r w:rsidR="00D47133">
        <w:t xml:space="preserve"> </w:t>
      </w:r>
      <w:r w:rsidRPr="003D68DE">
        <w:t>the foreign acquiring corporation to complete another, potentially larger, domestic entity</w:t>
      </w:r>
      <w:r w:rsidR="00D47133">
        <w:t xml:space="preserve"> </w:t>
      </w:r>
      <w:r w:rsidRPr="003D68DE">
        <w:t xml:space="preserve">acquisition to which </w:t>
      </w:r>
      <w:r w:rsidR="000F192E">
        <w:t>Section</w:t>
      </w:r>
      <w:r w:rsidRPr="003D68DE">
        <w:t xml:space="preserve"> 7874 will not apply. In some cases, a substantial portion of</w:t>
      </w:r>
      <w:r w:rsidR="0081433A">
        <w:t xml:space="preserve"> </w:t>
      </w:r>
      <w:r w:rsidRPr="003D68DE">
        <w:t>the value of a foreign acquiring corporation may be attributable to its completion of</w:t>
      </w:r>
      <w:r w:rsidR="0081433A">
        <w:t xml:space="preserve"> </w:t>
      </w:r>
      <w:r w:rsidRPr="003D68DE">
        <w:t>multiple domestic entity acquisitions over the span of just a few years, with that value</w:t>
      </w:r>
      <w:r w:rsidR="0081433A">
        <w:t xml:space="preserve"> </w:t>
      </w:r>
      <w:r w:rsidRPr="003D68DE">
        <w:t>serving as a platform to complete still larger subsequent domestic entity acquisitions</w:t>
      </w:r>
      <w:r w:rsidR="0081433A">
        <w:t xml:space="preserve"> </w:t>
      </w:r>
      <w:r w:rsidRPr="003D68DE">
        <w:t xml:space="preserve">that avoid the application of </w:t>
      </w:r>
      <w:r w:rsidR="000F192E">
        <w:t>Section</w:t>
      </w:r>
      <w:r w:rsidRPr="003D68DE">
        <w:t xml:space="preserve"> 7874. That is, the ownership percentage</w:t>
      </w:r>
      <w:r w:rsidR="0081433A">
        <w:t xml:space="preserve"> </w:t>
      </w:r>
      <w:r w:rsidRPr="003D68DE">
        <w:t>determined with respect to a subsequent domestic entity acquisition may be less than</w:t>
      </w:r>
      <w:r w:rsidR="0081433A">
        <w:t xml:space="preserve"> </w:t>
      </w:r>
      <w:r w:rsidRPr="003D68DE">
        <w:t>60, or less than 80, if the shares of the foreign acquiring corporation issued in prior</w:t>
      </w:r>
      <w:r w:rsidR="0081433A">
        <w:t xml:space="preserve"> </w:t>
      </w:r>
      <w:r w:rsidRPr="003D68DE">
        <w:t>domestic entity acquisitions are respected as outstanding (thus, included in the</w:t>
      </w:r>
      <w:r w:rsidR="00851D0E">
        <w:t xml:space="preserve"> </w:t>
      </w:r>
      <w:r w:rsidRPr="003D68DE">
        <w:t>denominator but not the numerator) when determining the ownership fraction.</w:t>
      </w:r>
    </w:p>
    <w:p w:rsidR="00851D0E" w:rsidRPr="003D68DE" w:rsidRDefault="00851D0E" w:rsidP="00A1486B">
      <w:pPr>
        <w:ind w:left="720"/>
      </w:pPr>
    </w:p>
    <w:p w:rsidR="003D68DE" w:rsidRPr="003D68DE" w:rsidRDefault="000F192E" w:rsidP="00A1486B">
      <w:pPr>
        <w:ind w:left="720"/>
      </w:pPr>
      <w:r>
        <w:t>Section</w:t>
      </w:r>
      <w:r w:rsidR="003D68DE" w:rsidRPr="003D68DE">
        <w:t xml:space="preserve"> 7874 is intended to address transactions in which a domestic parent</w:t>
      </w:r>
      <w:r w:rsidR="00851D0E">
        <w:t xml:space="preserve"> </w:t>
      </w:r>
      <w:r w:rsidR="003D68DE" w:rsidRPr="003D68DE">
        <w:t>corporation of a multinational group is replaced with a foreign parent corporation while</w:t>
      </w:r>
      <w:r w:rsidR="00707973">
        <w:t xml:space="preserve"> </w:t>
      </w:r>
      <w:r w:rsidR="003D68DE" w:rsidRPr="003D68DE">
        <w:t>“</w:t>
      </w:r>
      <w:proofErr w:type="gramStart"/>
      <w:r w:rsidR="003D68DE" w:rsidRPr="003D68DE">
        <w:t>permit[</w:t>
      </w:r>
      <w:proofErr w:type="gramEnd"/>
      <w:r w:rsidR="003D68DE" w:rsidRPr="003D68DE">
        <w:t>ting] corporations and other entities to continue to conduct business in the same</w:t>
      </w:r>
      <w:r w:rsidR="00707973">
        <w:t xml:space="preserve"> </w:t>
      </w:r>
      <w:r w:rsidR="003D68DE" w:rsidRPr="003D68DE">
        <w:t xml:space="preserve">manner as they did prior to the inversion.” </w:t>
      </w:r>
      <w:proofErr w:type="gramStart"/>
      <w:r w:rsidR="003D68DE" w:rsidRPr="003D68DE">
        <w:t>S. Rep. No. 192, at 142 (2003); JCT</w:t>
      </w:r>
      <w:r w:rsidR="00707973">
        <w:t xml:space="preserve"> </w:t>
      </w:r>
      <w:r w:rsidR="003D68DE" w:rsidRPr="003D68DE">
        <w:t>Explanation, at 343.</w:t>
      </w:r>
      <w:proofErr w:type="gramEnd"/>
      <w:r w:rsidR="003D68DE" w:rsidRPr="003D68DE">
        <w:t xml:space="preserve"> To further this policy, various rules under </w:t>
      </w:r>
      <w:r>
        <w:t>Section</w:t>
      </w:r>
      <w:r w:rsidR="003D68DE" w:rsidRPr="003D68DE">
        <w:t xml:space="preserve"> 7874 exclude</w:t>
      </w:r>
      <w:r w:rsidR="00707973">
        <w:t xml:space="preserve"> </w:t>
      </w:r>
      <w:r w:rsidR="003D68DE" w:rsidRPr="003D68DE">
        <w:t>from the denominator of the ownership fraction stock of the foreign acquiring</w:t>
      </w:r>
      <w:r w:rsidR="00707973">
        <w:t xml:space="preserve"> </w:t>
      </w:r>
      <w:r w:rsidR="003D68DE" w:rsidRPr="003D68DE">
        <w:t>corporation that otherwise would inappropriately reduce the ownership fraction. For</w:t>
      </w:r>
      <w:r w:rsidR="00707973">
        <w:t xml:space="preserve"> </w:t>
      </w:r>
      <w:r w:rsidR="003D68DE" w:rsidRPr="003D68DE">
        <w:t xml:space="preserve">example, the statutory public offering rule of </w:t>
      </w:r>
      <w:r>
        <w:t>Section</w:t>
      </w:r>
      <w:r w:rsidR="003D68DE" w:rsidRPr="003D68DE">
        <w:t xml:space="preserve"> 7874(a</w:t>
      </w:r>
      <w:proofErr w:type="gramStart"/>
      <w:r w:rsidR="003D68DE" w:rsidRPr="003D68DE">
        <w:t>)(</w:t>
      </w:r>
      <w:proofErr w:type="gramEnd"/>
      <w:r w:rsidR="003D68DE" w:rsidRPr="003D68DE">
        <w:t>2)(B) excludes from the</w:t>
      </w:r>
      <w:r w:rsidR="00707973">
        <w:t xml:space="preserve"> </w:t>
      </w:r>
      <w:r w:rsidR="003D68DE" w:rsidRPr="003D68DE">
        <w:t>denominator of the ownership fraction stock of the foreign acquiring corporation that is</w:t>
      </w:r>
      <w:r w:rsidR="00707973">
        <w:t xml:space="preserve"> </w:t>
      </w:r>
      <w:r w:rsidR="003D68DE" w:rsidRPr="003D68DE">
        <w:t>sold for cash in a public offering related to the domestic entity acquisition. For the same</w:t>
      </w:r>
      <w:r w:rsidR="00707973">
        <w:t xml:space="preserve"> </w:t>
      </w:r>
      <w:r w:rsidR="003D68DE" w:rsidRPr="003D68DE">
        <w:t>reason, rules under §§1.7874-4T and 1.7874-7T exclude from the denominator of the</w:t>
      </w:r>
      <w:r w:rsidR="00CD393A">
        <w:t xml:space="preserve"> </w:t>
      </w:r>
      <w:r w:rsidR="003D68DE" w:rsidRPr="003D68DE">
        <w:t>ownership fraction certain stock of the foreign acquiring corporation that is transferred in</w:t>
      </w:r>
      <w:r w:rsidR="00CD393A">
        <w:t xml:space="preserve"> </w:t>
      </w:r>
      <w:r w:rsidR="003D68DE" w:rsidRPr="003D68DE">
        <w:t>exchange for, or otherwise attributable to, passive assets or other nonqualified property.</w:t>
      </w:r>
    </w:p>
    <w:p w:rsidR="00CD393A" w:rsidRDefault="00CD393A" w:rsidP="00A1486B">
      <w:pPr>
        <w:ind w:left="720"/>
      </w:pPr>
    </w:p>
    <w:p w:rsidR="003D68DE" w:rsidRPr="003D68DE" w:rsidRDefault="003D68DE" w:rsidP="00A1486B">
      <w:pPr>
        <w:ind w:left="720"/>
      </w:pPr>
      <w:r w:rsidRPr="003D68DE">
        <w:t>The Treasury Department and the IRS have concluded that it is not consistent</w:t>
      </w:r>
      <w:r w:rsidR="00CD393A">
        <w:t xml:space="preserve"> </w:t>
      </w:r>
      <w:r w:rsidRPr="003D68DE">
        <w:t xml:space="preserve">with the purposes of </w:t>
      </w:r>
      <w:r w:rsidR="000F192E">
        <w:t>Section</w:t>
      </w:r>
      <w:r w:rsidRPr="003D68DE">
        <w:t xml:space="preserve"> 7874 to permit a foreign acquiring corporation to reduce the</w:t>
      </w:r>
      <w:r w:rsidR="00892EB0">
        <w:t xml:space="preserve"> </w:t>
      </w:r>
      <w:r w:rsidRPr="003D68DE">
        <w:t>ownership fraction for a domestic entity acquisition by including stock issued in</w:t>
      </w:r>
      <w:r w:rsidR="00892EB0">
        <w:t xml:space="preserve"> </w:t>
      </w:r>
      <w:r w:rsidRPr="003D68DE">
        <w:lastRenderedPageBreak/>
        <w:t>connection with other recent domestic entity acquisitions. Moreover, the Treasury</w:t>
      </w:r>
      <w:r w:rsidR="00892EB0">
        <w:t xml:space="preserve"> </w:t>
      </w:r>
      <w:r w:rsidRPr="003D68DE">
        <w:t xml:space="preserve">Department and the IRS do not believe that the application of </w:t>
      </w:r>
      <w:r w:rsidR="000F192E">
        <w:t>Section</w:t>
      </w:r>
      <w:r w:rsidRPr="003D68DE">
        <w:t xml:space="preserve"> 7874 in these</w:t>
      </w:r>
      <w:r w:rsidR="00892EB0">
        <w:t xml:space="preserve"> </w:t>
      </w:r>
      <w:r w:rsidRPr="003D68DE">
        <w:t>circumstances should depend on whether there was a demonstrable plan to undertake</w:t>
      </w:r>
      <w:r w:rsidR="00892EB0">
        <w:t xml:space="preserve"> </w:t>
      </w:r>
      <w:r w:rsidRPr="003D68DE">
        <w:t>the subsequent domestic entity acquisition at the time of the prior domestic entity</w:t>
      </w:r>
      <w:r w:rsidR="00892EB0">
        <w:t xml:space="preserve"> </w:t>
      </w:r>
      <w:r w:rsidRPr="003D68DE">
        <w:t>acquisitions. Therefore, and consistent with the policies underlying the other stock</w:t>
      </w:r>
      <w:r w:rsidR="00892EB0">
        <w:t xml:space="preserve"> </w:t>
      </w:r>
      <w:r w:rsidRPr="003D68DE">
        <w:t xml:space="preserve">exclusion rules under </w:t>
      </w:r>
      <w:r w:rsidR="000F192E">
        <w:t>Section</w:t>
      </w:r>
      <w:r w:rsidRPr="003D68DE">
        <w:t xml:space="preserve"> 7874, the Treasury Department and the IRS have</w:t>
      </w:r>
      <w:r w:rsidR="00892EB0">
        <w:t xml:space="preserve"> </w:t>
      </w:r>
      <w:r w:rsidRPr="003D68DE">
        <w:t>determined that stock of the foreign acquiring corporation that was issued in connection</w:t>
      </w:r>
      <w:r w:rsidR="0016687B">
        <w:t xml:space="preserve"> </w:t>
      </w:r>
      <w:r w:rsidRPr="003D68DE">
        <w:t>with certain prior domestic entity acquisitions occurring within a 36-month look-back</w:t>
      </w:r>
      <w:r w:rsidR="0016687B">
        <w:t xml:space="preserve"> </w:t>
      </w:r>
      <w:r w:rsidRPr="003D68DE">
        <w:t>period should be excluded from the denominator of the ownership fraction.</w:t>
      </w:r>
      <w:r w:rsidR="00E7493A">
        <w:rPr>
          <w:rStyle w:val="FootnoteReference"/>
        </w:rPr>
        <w:footnoteReference w:id="10"/>
      </w:r>
    </w:p>
    <w:p w:rsidR="003D68DE" w:rsidRDefault="003D68DE" w:rsidP="003D68DE"/>
    <w:p w:rsidR="0024204B" w:rsidRDefault="00511DB9">
      <w:r>
        <w:t xml:space="preserve">The basic rule is set out as follows in </w:t>
      </w:r>
      <w:r w:rsidRPr="007F010F">
        <w:t>§1.7874-</w:t>
      </w:r>
      <w:proofErr w:type="gramStart"/>
      <w:r w:rsidRPr="007F010F">
        <w:t>8T</w:t>
      </w:r>
      <w:r>
        <w:t>(</w:t>
      </w:r>
      <w:proofErr w:type="gramEnd"/>
      <w:r>
        <w:t>a) and (b)</w:t>
      </w:r>
      <w:r w:rsidR="00103026">
        <w:t xml:space="preserve">, which became effective on </w:t>
      </w:r>
      <w:r w:rsidR="006E4324">
        <w:t>April 4</w:t>
      </w:r>
      <w:r w:rsidR="00103026">
        <w:t>, 2016</w:t>
      </w:r>
      <w:r>
        <w:t>:</w:t>
      </w:r>
      <w:r w:rsidRPr="007F010F">
        <w:t xml:space="preserve"> </w:t>
      </w:r>
      <w:r>
        <w:t xml:space="preserve"> </w:t>
      </w:r>
    </w:p>
    <w:p w:rsidR="0024204B" w:rsidRDefault="0024204B"/>
    <w:p w:rsidR="007F010F" w:rsidRPr="007F010F" w:rsidRDefault="007F010F" w:rsidP="00511DB9">
      <w:pPr>
        <w:ind w:left="720"/>
      </w:pPr>
      <w:r w:rsidRPr="007F010F">
        <w:t xml:space="preserve">§1.7874-8T Disregard of certain stock attributable to multiple domestic </w:t>
      </w:r>
      <w:proofErr w:type="gramStart"/>
      <w:r w:rsidRPr="007F010F">
        <w:t>entity</w:t>
      </w:r>
      <w:proofErr w:type="gramEnd"/>
    </w:p>
    <w:p w:rsidR="007F010F" w:rsidRPr="007F010F" w:rsidRDefault="007F010F" w:rsidP="00511DB9">
      <w:pPr>
        <w:ind w:left="720"/>
      </w:pPr>
      <w:proofErr w:type="gramStart"/>
      <w:r w:rsidRPr="007F010F">
        <w:t>acquisitions</w:t>
      </w:r>
      <w:proofErr w:type="gramEnd"/>
      <w:r w:rsidRPr="007F010F">
        <w:t xml:space="preserve"> (temporary).</w:t>
      </w:r>
    </w:p>
    <w:p w:rsidR="00152EDE" w:rsidRDefault="007F010F" w:rsidP="00511DB9">
      <w:pPr>
        <w:ind w:left="720"/>
      </w:pPr>
      <w:r w:rsidRPr="007F010F">
        <w:t xml:space="preserve">(a) </w:t>
      </w:r>
      <w:r w:rsidRPr="00152EDE">
        <w:rPr>
          <w:i/>
        </w:rPr>
        <w:t>Scope.</w:t>
      </w:r>
      <w:r w:rsidRPr="007F010F">
        <w:t xml:space="preserve"> This </w:t>
      </w:r>
      <w:r w:rsidR="000F192E">
        <w:t>Section</w:t>
      </w:r>
      <w:r w:rsidRPr="007F010F">
        <w:t xml:space="preserve"> identifies stock of a foreign acquiring corporation that is</w:t>
      </w:r>
      <w:r w:rsidR="00152EDE">
        <w:t xml:space="preserve"> </w:t>
      </w:r>
      <w:r w:rsidRPr="007F010F">
        <w:t>disregarded in determining an ownership fraction by value because it is attributable to</w:t>
      </w:r>
      <w:r w:rsidR="00152EDE">
        <w:t xml:space="preserve"> </w:t>
      </w:r>
      <w:r w:rsidRPr="007F010F">
        <w:t xml:space="preserve">certain prior domestic entity acquisitions. Paragraph (b) of this </w:t>
      </w:r>
      <w:r w:rsidR="000F192E">
        <w:t>Section</w:t>
      </w:r>
      <w:r w:rsidRPr="007F010F">
        <w:t xml:space="preserve"> sets forth the</w:t>
      </w:r>
      <w:r w:rsidR="00152EDE">
        <w:t xml:space="preserve"> </w:t>
      </w:r>
      <w:r w:rsidRPr="007F010F">
        <w:t>general rule regarding the amount of stock of a foreign acquiring corporation that is</w:t>
      </w:r>
      <w:r w:rsidR="00152EDE">
        <w:t xml:space="preserve"> </w:t>
      </w:r>
      <w:r w:rsidRPr="007F010F">
        <w:t xml:space="preserve">excluded from the denominator of the ownership fraction by value under this </w:t>
      </w:r>
      <w:r w:rsidR="000F192E">
        <w:t>Section</w:t>
      </w:r>
      <w:r w:rsidR="00152EDE">
        <w:t xml:space="preserve">[.]  </w:t>
      </w:r>
    </w:p>
    <w:p w:rsidR="00152EDE" w:rsidRDefault="00152EDE" w:rsidP="00511DB9">
      <w:pPr>
        <w:ind w:left="720"/>
      </w:pPr>
    </w:p>
    <w:p w:rsidR="007F010F" w:rsidRPr="007F010F" w:rsidRDefault="007F010F" w:rsidP="00511DB9">
      <w:pPr>
        <w:ind w:left="720"/>
      </w:pPr>
      <w:r w:rsidRPr="007F010F">
        <w:t xml:space="preserve">(b) </w:t>
      </w:r>
      <w:r w:rsidRPr="00152EDE">
        <w:rPr>
          <w:i/>
        </w:rPr>
        <w:t>General rule</w:t>
      </w:r>
      <w:r w:rsidRPr="007F010F">
        <w:t>. This paragraph (b) applies to a domestic entity acquisition</w:t>
      </w:r>
      <w:r w:rsidR="00DD5407">
        <w:t xml:space="preserve"> </w:t>
      </w:r>
      <w:r w:rsidRPr="007F010F">
        <w:t>(relevant domestic entity acquisition)</w:t>
      </w:r>
      <w:r w:rsidR="00934687">
        <w:t xml:space="preserve"> </w:t>
      </w:r>
      <w:r w:rsidR="00934687" w:rsidRPr="00753DE7">
        <w:rPr>
          <w:b/>
        </w:rPr>
        <w:t>[</w:t>
      </w:r>
      <w:r w:rsidR="00934687" w:rsidRPr="00753DE7">
        <w:rPr>
          <w:b/>
          <w:i/>
        </w:rPr>
        <w:t>i.e</w:t>
      </w:r>
      <w:r w:rsidR="00934687" w:rsidRPr="00753DE7">
        <w:rPr>
          <w:b/>
        </w:rPr>
        <w:t>., an acquisition of a domestic corporation “that occurred within the 36-month period ending on the signing date of the relevant domestic entity acquisition</w:t>
      </w:r>
      <w:r w:rsidR="00AD730B" w:rsidRPr="00753DE7">
        <w:rPr>
          <w:b/>
        </w:rPr>
        <w:t>”</w:t>
      </w:r>
      <w:r w:rsidR="00934687" w:rsidRPr="00753DE7">
        <w:rPr>
          <w:b/>
        </w:rPr>
        <w:t>]</w:t>
      </w:r>
      <w:r w:rsidRPr="007F010F">
        <w:t xml:space="preserve"> when the foreign acquiring corporation</w:t>
      </w:r>
      <w:r w:rsidR="00DD5407">
        <w:t xml:space="preserve"> . . . </w:t>
      </w:r>
      <w:r w:rsidRPr="007F010F">
        <w:t>has completed one or more prior domestic entity acquisitions. When this</w:t>
      </w:r>
      <w:r w:rsidR="00DD5407">
        <w:t xml:space="preserve"> </w:t>
      </w:r>
      <w:r w:rsidRPr="007F010F">
        <w:t>paragraph (b) applies, then, for purposes of determining the ownership percentage by</w:t>
      </w:r>
      <w:r w:rsidR="00DD5407">
        <w:t xml:space="preserve"> </w:t>
      </w:r>
      <w:r w:rsidRPr="007F010F">
        <w:t xml:space="preserve">value (but not vote) described in </w:t>
      </w:r>
      <w:r w:rsidR="000F192E">
        <w:t>Section</w:t>
      </w:r>
      <w:r w:rsidRPr="007F010F">
        <w:t xml:space="preserve"> 7874(a</w:t>
      </w:r>
      <w:proofErr w:type="gramStart"/>
      <w:r w:rsidRPr="007F010F">
        <w:t>)(</w:t>
      </w:r>
      <w:proofErr w:type="gramEnd"/>
      <w:r w:rsidRPr="007F010F">
        <w:t>2)(B)(ii), stock of the foreign acquiring</w:t>
      </w:r>
      <w:r w:rsidR="00366B0E">
        <w:t xml:space="preserve"> </w:t>
      </w:r>
      <w:r w:rsidRPr="007F010F">
        <w:t>corporation is excluded from the denominator of the ownership fraction in an amount</w:t>
      </w:r>
      <w:r w:rsidR="00366B0E">
        <w:t xml:space="preserve"> </w:t>
      </w:r>
      <w:r w:rsidRPr="007F010F">
        <w:t>equal to the sum of the excluded amounts computed separately with respect to each</w:t>
      </w:r>
      <w:r w:rsidR="00366B0E">
        <w:t xml:space="preserve"> </w:t>
      </w:r>
      <w:r w:rsidRPr="007F010F">
        <w:t>prior domestic entity acquisition and each relevant share class.</w:t>
      </w:r>
    </w:p>
    <w:p w:rsidR="00D84550" w:rsidRDefault="00D84550" w:rsidP="00511DB9">
      <w:pPr>
        <w:ind w:left="720"/>
      </w:pPr>
    </w:p>
    <w:p w:rsidR="001F49DA" w:rsidRDefault="001F49DA" w:rsidP="001F49DA">
      <w:r>
        <w:t xml:space="preserve">Example 1 of </w:t>
      </w:r>
      <w:r w:rsidR="00A1486B">
        <w:t xml:space="preserve">§ </w:t>
      </w:r>
      <w:r w:rsidRPr="007F010F">
        <w:t>1.7874-</w:t>
      </w:r>
      <w:proofErr w:type="gramStart"/>
      <w:r w:rsidRPr="007F010F">
        <w:t>8T</w:t>
      </w:r>
      <w:r>
        <w:t>(</w:t>
      </w:r>
      <w:proofErr w:type="gramEnd"/>
      <w:r>
        <w:t xml:space="preserve">h) provides the following illustration of the basic rule: </w:t>
      </w:r>
    </w:p>
    <w:p w:rsidR="001F49DA" w:rsidRDefault="001F49DA" w:rsidP="001F49DA"/>
    <w:p w:rsidR="001F49DA" w:rsidRDefault="001F49DA" w:rsidP="001F49DA">
      <w:pPr>
        <w:ind w:left="720"/>
      </w:pPr>
      <w:proofErr w:type="gramStart"/>
      <w:r w:rsidRPr="00110F27">
        <w:rPr>
          <w:i/>
        </w:rPr>
        <w:t>Example 1</w:t>
      </w:r>
      <w:r w:rsidRPr="001F49DA">
        <w:t>.</w:t>
      </w:r>
      <w:proofErr w:type="gramEnd"/>
      <w:r w:rsidRPr="001F49DA">
        <w:t xml:space="preserve"> </w:t>
      </w:r>
      <w:proofErr w:type="gramStart"/>
      <w:r w:rsidRPr="00110F27">
        <w:rPr>
          <w:i/>
        </w:rPr>
        <w:t>Application of general rule</w:t>
      </w:r>
      <w:r w:rsidRPr="001F49DA">
        <w:t>--(</w:t>
      </w:r>
      <w:proofErr w:type="spellStart"/>
      <w:r w:rsidRPr="001F49DA">
        <w:t>i</w:t>
      </w:r>
      <w:proofErr w:type="spellEnd"/>
      <w:r w:rsidRPr="001F49DA">
        <w:t>) Facts</w:t>
      </w:r>
      <w:r w:rsidRPr="001F49DA">
        <w:rPr>
          <w:i/>
          <w:iCs/>
        </w:rPr>
        <w:t>.</w:t>
      </w:r>
      <w:proofErr w:type="gramEnd"/>
      <w:r w:rsidRPr="001F49DA">
        <w:rPr>
          <w:i/>
          <w:iCs/>
        </w:rPr>
        <w:t xml:space="preserve"> </w:t>
      </w:r>
      <w:r w:rsidRPr="001F49DA">
        <w:t>Individual A wholly owns DT1,</w:t>
      </w:r>
      <w:r w:rsidR="00110F27">
        <w:t xml:space="preserve"> </w:t>
      </w:r>
      <w:r w:rsidRPr="001F49DA">
        <w:t>a domestic corporation. Individual B owns all 100 shares of the sole class of stock of</w:t>
      </w:r>
      <w:r w:rsidR="00110F27">
        <w:t xml:space="preserve"> </w:t>
      </w:r>
      <w:r w:rsidRPr="001F49DA">
        <w:t>FA, a foreign corporation. In Year 1, FA acquires all the stock of DT1 solely in</w:t>
      </w:r>
      <w:r w:rsidR="00110F27">
        <w:t xml:space="preserve"> </w:t>
      </w:r>
      <w:r w:rsidRPr="001F49DA">
        <w:t>exchange for 100 shares of newly issued FA stock (DT1 acquisition). On the</w:t>
      </w:r>
      <w:r w:rsidR="00110F27">
        <w:t xml:space="preserve"> </w:t>
      </w:r>
      <w:r w:rsidRPr="001F49DA">
        <w:t>completion date with respect to the DT1 acquisition, the fair market value of each share</w:t>
      </w:r>
      <w:r w:rsidR="00110F27">
        <w:t xml:space="preserve"> </w:t>
      </w:r>
      <w:r w:rsidRPr="001F49DA">
        <w:t>of FA stock is $1x. In Year 3, FA enters into a binding contract to acquire all the stock</w:t>
      </w:r>
      <w:r w:rsidR="00110F27">
        <w:t xml:space="preserve"> </w:t>
      </w:r>
      <w:r w:rsidRPr="001F49DA">
        <w:t>of DT2, a domestic corporation wholly owned by Individual C. Thereafter, FA acquires</w:t>
      </w:r>
      <w:r w:rsidR="007613FE">
        <w:t xml:space="preserve"> </w:t>
      </w:r>
      <w:r w:rsidRPr="001F49DA">
        <w:t>all the stock of DT2 solely in exchange for 150 shares of newly issued FA stock (DT2</w:t>
      </w:r>
      <w:r w:rsidR="007613FE">
        <w:t xml:space="preserve"> </w:t>
      </w:r>
      <w:r w:rsidRPr="001F49DA">
        <w:t>acquisition). On the completion date with respect to the DT2 acquisition, the fair market</w:t>
      </w:r>
      <w:r w:rsidR="007613FE">
        <w:t xml:space="preserve"> </w:t>
      </w:r>
      <w:r w:rsidRPr="001F49DA">
        <w:t>value of each share of FA stock is $1.50x. FA did not complete the DT1 acquisition and</w:t>
      </w:r>
      <w:r w:rsidR="007613FE">
        <w:t xml:space="preserve"> </w:t>
      </w:r>
      <w:r w:rsidRPr="001F49DA">
        <w:t>DT2 acquisition pursuant to a plan (or series of related transactions) for purposes of</w:t>
      </w:r>
      <w:r w:rsidR="007613FE">
        <w:t xml:space="preserve"> </w:t>
      </w:r>
      <w:r w:rsidRPr="001F49DA">
        <w:t>applying §1.7874-</w:t>
      </w:r>
      <w:r w:rsidRPr="001F49DA">
        <w:lastRenderedPageBreak/>
        <w:t>2(e). In addition, there have been no redemptions of FA stock</w:t>
      </w:r>
      <w:r w:rsidR="007613FE">
        <w:t xml:space="preserve"> </w:t>
      </w:r>
      <w:r w:rsidRPr="001F49DA">
        <w:t>subsequent to the DT1 acquisition.</w:t>
      </w:r>
    </w:p>
    <w:p w:rsidR="007E72F2" w:rsidRPr="001F49DA" w:rsidRDefault="007E72F2" w:rsidP="001F49DA">
      <w:pPr>
        <w:ind w:left="720"/>
      </w:pPr>
    </w:p>
    <w:p w:rsidR="001F49DA" w:rsidRPr="001F49DA" w:rsidRDefault="001F49DA" w:rsidP="001F49DA">
      <w:pPr>
        <w:ind w:left="720"/>
      </w:pPr>
      <w:r w:rsidRPr="001F49DA">
        <w:t xml:space="preserve">(ii) </w:t>
      </w:r>
      <w:r w:rsidRPr="007E72F2">
        <w:rPr>
          <w:i/>
        </w:rPr>
        <w:t>Analysis</w:t>
      </w:r>
      <w:r w:rsidRPr="001F49DA">
        <w:t>. The DT1 acquisition is a prior domestic entity acquisition with</w:t>
      </w:r>
      <w:r w:rsidR="00FB6497">
        <w:t xml:space="preserve"> </w:t>
      </w:r>
      <w:r w:rsidRPr="001F49DA">
        <w:t>respect to the DT2 acquisition (the relevant domestic entity acquisition) because the</w:t>
      </w:r>
      <w:r w:rsidR="00FB6497">
        <w:t xml:space="preserve"> </w:t>
      </w:r>
      <w:r w:rsidRPr="001F49DA">
        <w:t>DT1 acquisition occurred within the 36-month period ending on the signing date with</w:t>
      </w:r>
      <w:r w:rsidR="00FB6497">
        <w:t xml:space="preserve"> </w:t>
      </w:r>
      <w:r w:rsidRPr="001F49DA">
        <w:t xml:space="preserve">respect to the DT2 acquisition. Accordingly, paragraph (b) of this </w:t>
      </w:r>
      <w:r w:rsidR="000F192E">
        <w:t>Section</w:t>
      </w:r>
      <w:r w:rsidRPr="001F49DA">
        <w:t xml:space="preserve"> applies to the</w:t>
      </w:r>
      <w:r w:rsidR="00FB6497">
        <w:t xml:space="preserve"> </w:t>
      </w:r>
      <w:r w:rsidRPr="001F49DA">
        <w:t>DT2 acquisition. As a result, and because there were no redemptions of FA stock, the</w:t>
      </w:r>
      <w:r w:rsidR="00FB6497">
        <w:t xml:space="preserve"> </w:t>
      </w:r>
      <w:r w:rsidRPr="001F49DA">
        <w:t>excluded amount is $150x (calculated as 100, the total number of prior acquisition</w:t>
      </w:r>
    </w:p>
    <w:p w:rsidR="001F49DA" w:rsidRPr="001F49DA" w:rsidRDefault="001F49DA" w:rsidP="001F49DA">
      <w:pPr>
        <w:ind w:left="720"/>
      </w:pPr>
      <w:proofErr w:type="gramStart"/>
      <w:r w:rsidRPr="001F49DA">
        <w:t>shares</w:t>
      </w:r>
      <w:proofErr w:type="gramEnd"/>
      <w:r w:rsidRPr="001F49DA">
        <w:t>, multiplied by $1.50x, the fair market value of a single class of FA stock on the</w:t>
      </w:r>
      <w:r w:rsidR="00DE0906">
        <w:t xml:space="preserve"> </w:t>
      </w:r>
      <w:r w:rsidRPr="001F49DA">
        <w:t>completion date with respect to the DT2 acquisition). Accordingly, the numerator of the</w:t>
      </w:r>
      <w:r w:rsidR="00DE0906">
        <w:t xml:space="preserve"> </w:t>
      </w:r>
      <w:r w:rsidRPr="001F49DA">
        <w:t>ownership fraction by value is $225x (the fair market value of the stock of FA that, with</w:t>
      </w:r>
      <w:r w:rsidR="00DE0906">
        <w:t xml:space="preserve"> </w:t>
      </w:r>
      <w:r w:rsidRPr="001F49DA">
        <w:t xml:space="preserve">respect to the DT2 acquisition, is described in </w:t>
      </w:r>
      <w:r w:rsidR="000F192E">
        <w:t>Section</w:t>
      </w:r>
      <w:r w:rsidRPr="001F49DA">
        <w:t xml:space="preserve"> 7874(a)(2)(B)(ii)). In addition, the</w:t>
      </w:r>
      <w:r w:rsidR="00DE0906">
        <w:t xml:space="preserve"> </w:t>
      </w:r>
      <w:r w:rsidRPr="001F49DA">
        <w:t>denominator of the ownership fraction is $375x (calculated as $525x, the fair market</w:t>
      </w:r>
      <w:r w:rsidR="00DE0906">
        <w:t xml:space="preserve"> </w:t>
      </w:r>
      <w:r w:rsidRPr="001F49DA">
        <w:t>value of all shares of FA stock as of the completion date with respect to the DT2</w:t>
      </w:r>
      <w:r w:rsidR="00DE0906">
        <w:t xml:space="preserve"> </w:t>
      </w:r>
      <w:r w:rsidRPr="001F49DA">
        <w:t>acquisition, less $150x, the excluded amount). Therefore, the ownership percentage by</w:t>
      </w:r>
    </w:p>
    <w:p w:rsidR="001F49DA" w:rsidRDefault="001F49DA" w:rsidP="001F49DA">
      <w:pPr>
        <w:ind w:left="720"/>
        <w:rPr>
          <w:b/>
        </w:rPr>
      </w:pPr>
      <w:proofErr w:type="gramStart"/>
      <w:r w:rsidRPr="001F49DA">
        <w:t>value</w:t>
      </w:r>
      <w:proofErr w:type="gramEnd"/>
      <w:r w:rsidRPr="001F49DA">
        <w:t xml:space="preserve"> is 60.</w:t>
      </w:r>
      <w:r w:rsidR="00AB19CE">
        <w:t xml:space="preserve"> </w:t>
      </w:r>
      <w:r w:rsidR="00AB19CE" w:rsidRPr="005C3EA5">
        <w:rPr>
          <w:b/>
        </w:rPr>
        <w:t>[</w:t>
      </w:r>
      <w:r w:rsidR="005C3EA5" w:rsidRPr="005C3EA5">
        <w:rPr>
          <w:b/>
        </w:rPr>
        <w:t xml:space="preserve">Consequently, the transaction is subject to </w:t>
      </w:r>
      <w:r w:rsidR="000F192E">
        <w:rPr>
          <w:b/>
        </w:rPr>
        <w:t>Section</w:t>
      </w:r>
      <w:r w:rsidR="005C3EA5" w:rsidRPr="005C3EA5">
        <w:rPr>
          <w:b/>
        </w:rPr>
        <w:t xml:space="preserve"> 7874.</w:t>
      </w:r>
      <w:r w:rsidR="00AB19CE" w:rsidRPr="005C3EA5">
        <w:rPr>
          <w:b/>
        </w:rPr>
        <w:t>]</w:t>
      </w:r>
    </w:p>
    <w:p w:rsidR="00085F1E" w:rsidRDefault="00085F1E" w:rsidP="001F49DA">
      <w:pPr>
        <w:ind w:left="720"/>
        <w:rPr>
          <w:b/>
        </w:rPr>
      </w:pPr>
    </w:p>
    <w:p w:rsidR="00085F1E" w:rsidRDefault="00085F1E" w:rsidP="00085F1E">
      <w:r w:rsidRPr="00085F1E">
        <w:t>While</w:t>
      </w:r>
      <w:r>
        <w:t xml:space="preserve"> some observers will question whether the Treasury has the authority to issue these regulations, in my view there is more than ample authority in </w:t>
      </w:r>
      <w:r w:rsidR="000F192E">
        <w:t>Section</w:t>
      </w:r>
      <w:r>
        <w:t xml:space="preserve"> </w:t>
      </w:r>
      <w:r w:rsidR="00624841">
        <w:t>7874(g)</w:t>
      </w:r>
      <w:r w:rsidR="00DC323E">
        <w:t>,</w:t>
      </w:r>
      <w:r w:rsidR="00624841">
        <w:t xml:space="preserve"> which provides, in part: </w:t>
      </w:r>
    </w:p>
    <w:p w:rsidR="00085F1E" w:rsidRDefault="00085F1E" w:rsidP="00085F1E"/>
    <w:p w:rsidR="00624841" w:rsidRDefault="00085F1E" w:rsidP="00624841">
      <w:pPr>
        <w:ind w:left="720"/>
        <w:rPr>
          <w:rStyle w:val="chapeau"/>
          <w:b/>
        </w:rPr>
      </w:pPr>
      <w:r w:rsidRPr="00624841">
        <w:rPr>
          <w:rStyle w:val="chapeau"/>
        </w:rPr>
        <w:t xml:space="preserve">The Secretary shall provide such regulations as are necessary to carry out this </w:t>
      </w:r>
      <w:r w:rsidR="000F192E">
        <w:rPr>
          <w:rStyle w:val="chapeau"/>
        </w:rPr>
        <w:t>Section</w:t>
      </w:r>
      <w:r w:rsidRPr="00624841">
        <w:rPr>
          <w:rStyle w:val="chapeau"/>
        </w:rPr>
        <w:t xml:space="preserve">, including regulations providing for such adjustments to the application of this </w:t>
      </w:r>
      <w:r w:rsidR="000F192E">
        <w:rPr>
          <w:rStyle w:val="chapeau"/>
        </w:rPr>
        <w:t>Section</w:t>
      </w:r>
      <w:r w:rsidRPr="00624841">
        <w:rPr>
          <w:rStyle w:val="chapeau"/>
        </w:rPr>
        <w:t xml:space="preserve"> as are necessary </w:t>
      </w:r>
      <w:r w:rsidRPr="00624841">
        <w:rPr>
          <w:rStyle w:val="chapeau"/>
          <w:b/>
        </w:rPr>
        <w:t xml:space="preserve">to prevent the avoidance of the purposes of this </w:t>
      </w:r>
      <w:r w:rsidR="000F192E">
        <w:rPr>
          <w:rStyle w:val="chapeau"/>
          <w:b/>
        </w:rPr>
        <w:t>Section</w:t>
      </w:r>
      <w:r w:rsidR="00624841">
        <w:rPr>
          <w:rStyle w:val="chapeau"/>
          <w:b/>
        </w:rPr>
        <w:t xml:space="preserve"> . . . .</w:t>
      </w:r>
    </w:p>
    <w:p w:rsidR="009739D3" w:rsidRPr="00521413" w:rsidRDefault="00092879" w:rsidP="00B34C4A">
      <w:pPr>
        <w:pStyle w:val="Heading2"/>
      </w:pPr>
      <w:bookmarkStart w:id="69" w:name="_Toc449441988"/>
      <w:r w:rsidRPr="0088734C">
        <w:t>CALCULATION OF THE OWNERSHIP PERCENTAGE</w:t>
      </w:r>
      <w:r>
        <w:t>:</w:t>
      </w:r>
      <w:r w:rsidRPr="0088734C">
        <w:t xml:space="preserve"> </w:t>
      </w:r>
      <w:r>
        <w:t xml:space="preserve">THE THIRD COUNTRY RULE, </w:t>
      </w:r>
      <w:r w:rsidR="006768D3">
        <w:t xml:space="preserve">§ </w:t>
      </w:r>
      <w:r w:rsidRPr="00521413">
        <w:t>1.7874-</w:t>
      </w:r>
      <w:r>
        <w:t>9</w:t>
      </w:r>
      <w:r w:rsidRPr="00521413">
        <w:t>T</w:t>
      </w:r>
      <w:bookmarkEnd w:id="69"/>
    </w:p>
    <w:p w:rsidR="004F33C0" w:rsidRDefault="004D1A68">
      <w:r>
        <w:t xml:space="preserve">The preamble to the 2016 General Inversion </w:t>
      </w:r>
      <w:proofErr w:type="spellStart"/>
      <w:r>
        <w:t>Regs</w:t>
      </w:r>
      <w:proofErr w:type="spellEnd"/>
      <w:r>
        <w:t xml:space="preserve"> </w:t>
      </w:r>
      <w:r w:rsidR="00A853D3">
        <w:t>introduces as follows the Third Country Rule, which first appeared in the 2015 Notice</w:t>
      </w:r>
      <w:r w:rsidR="004F33C0">
        <w:t xml:space="preserve"> </w:t>
      </w:r>
      <w:r w:rsidR="005A36C0">
        <w:t xml:space="preserve">and is reflected in § </w:t>
      </w:r>
      <w:r w:rsidR="005A36C0" w:rsidRPr="005A36C0">
        <w:t>1.7874-9T</w:t>
      </w:r>
      <w:r w:rsidR="004F33C0">
        <w:t xml:space="preserve">:  </w:t>
      </w:r>
    </w:p>
    <w:p w:rsidR="004F33C0" w:rsidRDefault="004F33C0"/>
    <w:p w:rsidR="004F33C0" w:rsidRPr="004F33C0" w:rsidRDefault="004F33C0" w:rsidP="00A03F8A">
      <w:pPr>
        <w:ind w:left="720"/>
      </w:pPr>
      <w:r w:rsidRPr="004F33C0">
        <w:t>4. Third-Country Rule</w:t>
      </w:r>
    </w:p>
    <w:p w:rsidR="004F33C0" w:rsidRPr="004F33C0" w:rsidRDefault="004F33C0" w:rsidP="00A03F8A">
      <w:pPr>
        <w:ind w:left="720"/>
      </w:pPr>
      <w:r w:rsidRPr="004F33C0">
        <w:t>a. Background</w:t>
      </w:r>
    </w:p>
    <w:p w:rsidR="00A03F8A" w:rsidRDefault="000F192E" w:rsidP="00A03F8A">
      <w:pPr>
        <w:ind w:left="720"/>
      </w:pPr>
      <w:r>
        <w:t>Section</w:t>
      </w:r>
      <w:r w:rsidR="004F33C0" w:rsidRPr="004F33C0">
        <w:t xml:space="preserve"> 2.02(b) of the 2015 notice announces that the Treasury Department and</w:t>
      </w:r>
      <w:r w:rsidR="000F5235">
        <w:t xml:space="preserve"> </w:t>
      </w:r>
      <w:r w:rsidR="004F33C0" w:rsidRPr="004F33C0">
        <w:t>the IRS intend to issue regulations providing a rule (the third-country rule) that will apply</w:t>
      </w:r>
      <w:r w:rsidR="003A6FFB">
        <w:t xml:space="preserve"> </w:t>
      </w:r>
      <w:r w:rsidR="004F33C0" w:rsidRPr="004F33C0">
        <w:t>to certain domestic entity acquisitions in which a domestic entity combines with an</w:t>
      </w:r>
      <w:r w:rsidR="003A6FFB">
        <w:t xml:space="preserve"> </w:t>
      </w:r>
      <w:r w:rsidR="004F33C0" w:rsidRPr="004F33C0">
        <w:t>existing foreign corporation under a foreign parent corporation that is a tax resident of a</w:t>
      </w:r>
      <w:r w:rsidR="003A6FFB">
        <w:t xml:space="preserve"> </w:t>
      </w:r>
      <w:r w:rsidR="004F33C0" w:rsidRPr="004F33C0">
        <w:t>“third country” (that is, a foreign country other than the foreign country of which the</w:t>
      </w:r>
      <w:r w:rsidR="003A6FFB">
        <w:t xml:space="preserve"> </w:t>
      </w:r>
      <w:r w:rsidR="004F33C0" w:rsidRPr="004F33C0">
        <w:t>existing foreign corporation is subject to tax as a resident). The 2015 notice provides</w:t>
      </w:r>
      <w:r w:rsidR="003A6FFB">
        <w:t xml:space="preserve"> </w:t>
      </w:r>
      <w:r w:rsidR="004F33C0" w:rsidRPr="004F33C0">
        <w:t>that the third-country rule will apply when four requirements are satisfied. First, in a</w:t>
      </w:r>
      <w:r w:rsidR="003A6FFB">
        <w:t xml:space="preserve"> </w:t>
      </w:r>
      <w:r w:rsidR="004F33C0" w:rsidRPr="004F33C0">
        <w:t>transaction (referred to in the 2015 notice as a “foreign target acquisition” but in this</w:t>
      </w:r>
      <w:r w:rsidR="003A6FFB">
        <w:t xml:space="preserve"> </w:t>
      </w:r>
      <w:r w:rsidR="004F33C0" w:rsidRPr="004F33C0">
        <w:t>preamble and the temporary regulations as a “foreign acquisition”) related to the</w:t>
      </w:r>
      <w:r w:rsidR="003A6FFB">
        <w:t xml:space="preserve"> </w:t>
      </w:r>
      <w:r w:rsidR="004F33C0" w:rsidRPr="004F33C0">
        <w:t>domestic entity acquisition, the foreign acquiring corporation directly or indirectly</w:t>
      </w:r>
      <w:r w:rsidR="003A6FFB">
        <w:t xml:space="preserve"> </w:t>
      </w:r>
      <w:r w:rsidR="004F33C0" w:rsidRPr="004F33C0">
        <w:t>acquires substantially all of the properties held directly or indirectly by another foreign</w:t>
      </w:r>
      <w:r w:rsidR="003A6FFB">
        <w:t xml:space="preserve"> </w:t>
      </w:r>
      <w:r w:rsidR="004F33C0" w:rsidRPr="004F33C0">
        <w:t>corporation (the acquired foreign corporation). Second, the gross value of all property</w:t>
      </w:r>
      <w:r w:rsidR="00F937AA">
        <w:t xml:space="preserve"> </w:t>
      </w:r>
      <w:r w:rsidR="004F33C0" w:rsidRPr="004F33C0">
        <w:t>directly or indirectly acquired by the foreign acquiring corporation in the foreign</w:t>
      </w:r>
      <w:r w:rsidR="00F937AA">
        <w:t xml:space="preserve"> </w:t>
      </w:r>
      <w:r w:rsidR="004F33C0" w:rsidRPr="004F33C0">
        <w:t xml:space="preserve">acquisition exceeds </w:t>
      </w:r>
      <w:r w:rsidR="004F33C0" w:rsidRPr="004F33C0">
        <w:lastRenderedPageBreak/>
        <w:t>60 percent of the gross value of all foreign group property, other</w:t>
      </w:r>
      <w:r w:rsidR="00F937AA">
        <w:t xml:space="preserve"> </w:t>
      </w:r>
      <w:r w:rsidR="004F33C0" w:rsidRPr="004F33C0">
        <w:t>than foreign group nonqualified property, held by the EAG on the completion date (the</w:t>
      </w:r>
      <w:r w:rsidR="00F937AA">
        <w:t xml:space="preserve"> </w:t>
      </w:r>
      <w:r w:rsidR="004F33C0" w:rsidRPr="004F33C0">
        <w:t>gross value requirement). Third, the tax residence of the foreign acquiring corporation</w:t>
      </w:r>
      <w:r w:rsidR="00F937AA">
        <w:t xml:space="preserve"> </w:t>
      </w:r>
      <w:r w:rsidR="004F33C0" w:rsidRPr="004F33C0">
        <w:t>is not the same as that of the acquired foreign corporation, as determined before the</w:t>
      </w:r>
      <w:r w:rsidR="00F937AA">
        <w:t xml:space="preserve"> </w:t>
      </w:r>
      <w:r w:rsidR="004F33C0" w:rsidRPr="004F33C0">
        <w:t>foreign acquisition and any related transaction (the tax residency requirement). And</w:t>
      </w:r>
      <w:r w:rsidR="00F937AA">
        <w:t xml:space="preserve"> </w:t>
      </w:r>
      <w:r w:rsidR="004F33C0" w:rsidRPr="004F33C0">
        <w:t>fourth, the ownership percentage, determined without regard to the third-country rule,</w:t>
      </w:r>
      <w:r w:rsidR="00F937AA">
        <w:t xml:space="preserve"> </w:t>
      </w:r>
      <w:r w:rsidR="004F33C0" w:rsidRPr="004F33C0">
        <w:t xml:space="preserve">must be at least 60 but less than 80 (the domestic entity ownership requirement). </w:t>
      </w:r>
      <w:r w:rsidR="00F82684">
        <w:t>. . .  [T]</w:t>
      </w:r>
      <w:r w:rsidR="004F33C0" w:rsidRPr="004F33C0">
        <w:t>he temporary regulations retain the first, third,</w:t>
      </w:r>
      <w:r w:rsidR="008E3283">
        <w:t xml:space="preserve"> </w:t>
      </w:r>
      <w:r w:rsidR="004F33C0" w:rsidRPr="004F33C0">
        <w:t>and fourth requirements described in the 2015 notice but replace the second</w:t>
      </w:r>
      <w:r w:rsidR="008E3283">
        <w:t xml:space="preserve"> </w:t>
      </w:r>
      <w:r w:rsidR="004F33C0" w:rsidRPr="004F33C0">
        <w:t xml:space="preserve">requirement with </w:t>
      </w:r>
      <w:r w:rsidR="00057807">
        <w:t>[the following new requirement: “[A]</w:t>
      </w:r>
      <w:r w:rsidR="00057807" w:rsidRPr="004F33C0">
        <w:t xml:space="preserve"> continuity of interest requirement (referred to as the “foreign</w:t>
      </w:r>
      <w:r w:rsidR="00057807">
        <w:t xml:space="preserve"> </w:t>
      </w:r>
      <w:r w:rsidR="00057807" w:rsidRPr="004F33C0">
        <w:t>ownership percentage”)</w:t>
      </w:r>
      <w:r w:rsidR="002F1BD1">
        <w:t xml:space="preserve">, . . . [which generally] </w:t>
      </w:r>
      <w:r w:rsidR="00057807" w:rsidRPr="004F33C0">
        <w:t>is</w:t>
      </w:r>
      <w:r w:rsidR="002F1BD1">
        <w:t xml:space="preserve"> </w:t>
      </w:r>
      <w:r w:rsidR="00057807" w:rsidRPr="004F33C0">
        <w:t>satisfied if at least 60 percent of the stock (by vote or value) of the foreign acquiring</w:t>
      </w:r>
      <w:r w:rsidR="002F1BD1">
        <w:t xml:space="preserve"> </w:t>
      </w:r>
      <w:r w:rsidR="00057807" w:rsidRPr="004F33C0">
        <w:t>corporation is held by former shareholders of the acquired foreign corporation by reason</w:t>
      </w:r>
      <w:r w:rsidR="002F1BD1">
        <w:t xml:space="preserve"> </w:t>
      </w:r>
      <w:r w:rsidR="00057807" w:rsidRPr="004F33C0">
        <w:t>of holding stock in the acquired foreign corporation</w:t>
      </w:r>
      <w:r w:rsidR="002F1BD1">
        <w:t>[.]</w:t>
      </w:r>
      <w:r w:rsidR="00F82684">
        <w:t>]</w:t>
      </w:r>
      <w:r w:rsidR="0053640D">
        <w:t>.</w:t>
      </w:r>
      <w:r w:rsidR="00F2069F">
        <w:rPr>
          <w:rStyle w:val="FootnoteReference"/>
        </w:rPr>
        <w:footnoteReference w:id="11"/>
      </w:r>
      <w:r w:rsidR="00057807" w:rsidRPr="004F33C0">
        <w:t xml:space="preserve"> </w:t>
      </w:r>
    </w:p>
    <w:p w:rsidR="007D6B73" w:rsidRDefault="007D6B73" w:rsidP="00A03F8A">
      <w:pPr>
        <w:ind w:left="720"/>
      </w:pPr>
    </w:p>
    <w:p w:rsidR="007D6B73" w:rsidRDefault="007D6B73" w:rsidP="007D6B73">
      <w:r>
        <w:t xml:space="preserve">The above principles are illustrated in </w:t>
      </w:r>
      <w:r w:rsidR="0025345C">
        <w:t xml:space="preserve">the </w:t>
      </w:r>
      <w:r>
        <w:t>Example</w:t>
      </w:r>
      <w:r w:rsidR="0025345C">
        <w:t xml:space="preserve"> in § 1.7874-</w:t>
      </w:r>
      <w:proofErr w:type="gramStart"/>
      <w:r w:rsidR="0025345C">
        <w:t>9T(</w:t>
      </w:r>
      <w:proofErr w:type="gramEnd"/>
      <w:r w:rsidR="0025345C">
        <w:t>f), and in Slide</w:t>
      </w:r>
      <w:r w:rsidR="007F3602">
        <w:t xml:space="preserve"> #7.</w:t>
      </w:r>
      <w:r w:rsidR="0025345C">
        <w:t xml:space="preserve"> .</w:t>
      </w:r>
    </w:p>
    <w:p w:rsidR="004A4E80" w:rsidRDefault="00AA4497" w:rsidP="00B34C4A">
      <w:pPr>
        <w:pStyle w:val="Heading2"/>
      </w:pPr>
      <w:bookmarkStart w:id="70" w:name="_Toc449441989"/>
      <w:r w:rsidRPr="0088734C">
        <w:t>CALCULATION OF THE OWNERSHIP PERCENTAGE</w:t>
      </w:r>
      <w:r>
        <w:t>:</w:t>
      </w:r>
      <w:r w:rsidRPr="0088734C">
        <w:t xml:space="preserve"> </w:t>
      </w:r>
      <w:r>
        <w:t xml:space="preserve">THE NON-ORDINARY COURSE DISTRIBUTIONS (NOCD) RULE, </w:t>
      </w:r>
      <w:r w:rsidR="006768D3">
        <w:t xml:space="preserve">§ </w:t>
      </w:r>
      <w:r w:rsidRPr="00521413">
        <w:t>1.7874-</w:t>
      </w:r>
      <w:r>
        <w:t>10</w:t>
      </w:r>
      <w:r w:rsidRPr="00521413">
        <w:t>T</w:t>
      </w:r>
      <w:bookmarkEnd w:id="70"/>
    </w:p>
    <w:p w:rsidR="004D1A68" w:rsidRDefault="00C011CB">
      <w:r>
        <w:t>While all of the provisions discussed thus far dealing with the “</w:t>
      </w:r>
      <w:r w:rsidR="00B452BC">
        <w:t xml:space="preserve">Calculation of the Ownership </w:t>
      </w:r>
      <w:r w:rsidR="00B452BC" w:rsidRPr="00387016">
        <w:t xml:space="preserve">Percentage” have addressed the “right sizing” or bulking up of the foreign </w:t>
      </w:r>
      <w:proofErr w:type="spellStart"/>
      <w:r w:rsidR="00B452BC" w:rsidRPr="00387016">
        <w:t>acquiror</w:t>
      </w:r>
      <w:proofErr w:type="spellEnd"/>
      <w:r w:rsidR="00B452BC" w:rsidRPr="00387016">
        <w:t>, this</w:t>
      </w:r>
      <w:r w:rsidR="00387016" w:rsidRPr="00387016">
        <w:t xml:space="preserve"> Non-Ordinary Course Distributions (NOCD) Rule</w:t>
      </w:r>
      <w:r w:rsidR="00387016">
        <w:t xml:space="preserve"> deals with the “right sizing” or slimming down of the U.S. firm.  </w:t>
      </w:r>
      <w:r w:rsidR="000F2F35">
        <w:t>This concept was first set forth in the 2014 Notice</w:t>
      </w:r>
      <w:r w:rsidR="005D0FD3">
        <w:t>.</w:t>
      </w:r>
      <w:r w:rsidR="004239D4">
        <w:t xml:space="preserve">  T</w:t>
      </w:r>
      <w:r w:rsidR="004D1A68">
        <w:t>he</w:t>
      </w:r>
      <w:r w:rsidR="00175F96">
        <w:t xml:space="preserve"> </w:t>
      </w:r>
      <w:r w:rsidR="004D1A68">
        <w:t xml:space="preserve">preamble to the 2016 General Inversion </w:t>
      </w:r>
      <w:proofErr w:type="spellStart"/>
      <w:r w:rsidR="004D1A68">
        <w:t>Regs</w:t>
      </w:r>
      <w:proofErr w:type="spellEnd"/>
      <w:r w:rsidR="004D1A68">
        <w:t xml:space="preserve"> gives the following introduction to the issue and general description of the approach of</w:t>
      </w:r>
      <w:r w:rsidR="003D4EB3">
        <w:t xml:space="preserve"> this very elaborate set of </w:t>
      </w:r>
      <w:r w:rsidR="004D1A68">
        <w:t xml:space="preserve">regulations: </w:t>
      </w:r>
    </w:p>
    <w:p w:rsidR="004D1A68" w:rsidRDefault="004D1A68"/>
    <w:p w:rsidR="00640AC4" w:rsidRPr="00640AC4" w:rsidRDefault="00640AC4" w:rsidP="0006374F">
      <w:pPr>
        <w:ind w:left="720"/>
      </w:pPr>
      <w:r w:rsidRPr="00640AC4">
        <w:t>5. Non-Ordinary Course Distributions (NOCD) Rule</w:t>
      </w:r>
    </w:p>
    <w:p w:rsidR="00640AC4" w:rsidRPr="00640AC4" w:rsidRDefault="00640AC4" w:rsidP="0006374F">
      <w:pPr>
        <w:ind w:left="720"/>
      </w:pPr>
      <w:r w:rsidRPr="00640AC4">
        <w:t>a. Overview</w:t>
      </w:r>
    </w:p>
    <w:p w:rsidR="00640AC4" w:rsidRDefault="00640AC4" w:rsidP="0006374F">
      <w:pPr>
        <w:ind w:left="720"/>
      </w:pPr>
      <w:r w:rsidRPr="00640AC4">
        <w:t>The 2014 notice announced that the Treasury Department and the IRS intend to</w:t>
      </w:r>
      <w:r>
        <w:t xml:space="preserve"> </w:t>
      </w:r>
      <w:r w:rsidRPr="00640AC4">
        <w:t xml:space="preserve">include in future regulations under </w:t>
      </w:r>
      <w:r w:rsidR="000F192E">
        <w:t>Section</w:t>
      </w:r>
      <w:r w:rsidRPr="00640AC4">
        <w:t xml:space="preserve"> 7874 a rule (the NOCD rule) that disregards</w:t>
      </w:r>
      <w:r>
        <w:t xml:space="preserve"> </w:t>
      </w:r>
      <w:r w:rsidRPr="00640AC4">
        <w:t>certain distributions made by a domestic entity before being acquired by a foreign</w:t>
      </w:r>
      <w:r>
        <w:t xml:space="preserve"> </w:t>
      </w:r>
      <w:r w:rsidRPr="00640AC4">
        <w:t>acquiring corporation that otherwise would reduce the numerator of the ownership</w:t>
      </w:r>
      <w:r>
        <w:t xml:space="preserve"> </w:t>
      </w:r>
      <w:r w:rsidRPr="00640AC4">
        <w:t xml:space="preserve">fraction. Specifically, </w:t>
      </w:r>
      <w:r w:rsidR="000F192E">
        <w:t>Section</w:t>
      </w:r>
      <w:r w:rsidRPr="00640AC4">
        <w:t xml:space="preserve"> 2.02(b) of the 2014 notice provides that, for purposes of</w:t>
      </w:r>
      <w:r>
        <w:t xml:space="preserve"> </w:t>
      </w:r>
      <w:r w:rsidRPr="00640AC4">
        <w:t xml:space="preserve">applying </w:t>
      </w:r>
      <w:r w:rsidR="000F192E">
        <w:t>Section</w:t>
      </w:r>
      <w:r w:rsidRPr="00640AC4">
        <w:t xml:space="preserve"> 7874(c)(4), NOCDs made by the domestic entity </w:t>
      </w:r>
      <w:r w:rsidR="001A344E">
        <w:t xml:space="preserve">. . . </w:t>
      </w:r>
      <w:r w:rsidRPr="00640AC4">
        <w:t>during the 36-month period ending on the completion date will be treated</w:t>
      </w:r>
      <w:r w:rsidR="001A344E">
        <w:t xml:space="preserve"> </w:t>
      </w:r>
      <w:r w:rsidRPr="00640AC4">
        <w:t xml:space="preserve">as part of a plan a principal purpose of which is to avoid the purposes of </w:t>
      </w:r>
      <w:r w:rsidR="000F192E">
        <w:t>Section</w:t>
      </w:r>
      <w:r w:rsidRPr="00640AC4">
        <w:t xml:space="preserve"> 7874.</w:t>
      </w:r>
    </w:p>
    <w:p w:rsidR="001A344E" w:rsidRPr="00640AC4" w:rsidRDefault="001A344E" w:rsidP="0006374F">
      <w:pPr>
        <w:ind w:left="720"/>
      </w:pPr>
    </w:p>
    <w:p w:rsidR="00640AC4" w:rsidRDefault="00640AC4" w:rsidP="0006374F">
      <w:pPr>
        <w:ind w:left="720"/>
      </w:pPr>
      <w:r w:rsidRPr="00640AC4">
        <w:t>The 2014 notice defines NOCDs as the excess of all distributions made during a</w:t>
      </w:r>
      <w:r w:rsidR="001A344E">
        <w:t xml:space="preserve"> </w:t>
      </w:r>
      <w:r w:rsidRPr="00640AC4">
        <w:t xml:space="preserve">taxable year by the domestic entity with respect to its stock </w:t>
      </w:r>
      <w:r w:rsidR="001A344E">
        <w:t xml:space="preserve">. . . </w:t>
      </w:r>
      <w:r w:rsidRPr="00640AC4">
        <w:t>over 110 percent of the average of such distributions during the thirty-six</w:t>
      </w:r>
      <w:r w:rsidR="00E77C2F">
        <w:t xml:space="preserve"> </w:t>
      </w:r>
      <w:r w:rsidRPr="00640AC4">
        <w:t>month period immediately preceding such taxable year. The 2014 notice defines</w:t>
      </w:r>
      <w:r w:rsidR="00E77C2F">
        <w:t xml:space="preserve"> </w:t>
      </w:r>
      <w:r w:rsidRPr="00640AC4">
        <w:t>distribution, in relevant part, to mean any distribution, regardless of whether it is treated</w:t>
      </w:r>
      <w:r w:rsidR="00E77C2F">
        <w:t xml:space="preserve"> </w:t>
      </w:r>
      <w:r w:rsidRPr="00640AC4">
        <w:t xml:space="preserve">as a dividend or whether, for example, it qualifies under </w:t>
      </w:r>
      <w:r w:rsidR="000F192E">
        <w:t>Section</w:t>
      </w:r>
      <w:r w:rsidRPr="00640AC4">
        <w:t xml:space="preserve"> 355.</w:t>
      </w:r>
    </w:p>
    <w:p w:rsidR="00E77C2F" w:rsidRPr="00640AC4" w:rsidRDefault="00E77C2F" w:rsidP="0006374F">
      <w:pPr>
        <w:ind w:left="720"/>
      </w:pPr>
    </w:p>
    <w:p w:rsidR="00E77C2F" w:rsidRDefault="000F192E" w:rsidP="0006374F">
      <w:pPr>
        <w:ind w:left="720"/>
      </w:pPr>
      <w:r>
        <w:t>Section</w:t>
      </w:r>
      <w:r w:rsidR="00640AC4" w:rsidRPr="00640AC4">
        <w:t xml:space="preserve"> 4.02(b) of the 2015 notice provides that the future regulations</w:t>
      </w:r>
      <w:r w:rsidR="00E77C2F">
        <w:t xml:space="preserve"> </w:t>
      </w:r>
      <w:r w:rsidR="00640AC4" w:rsidRPr="00640AC4">
        <w:t xml:space="preserve">incorporating the NOCD rule will include a </w:t>
      </w:r>
      <w:r w:rsidR="00640AC4" w:rsidRPr="00E77C2F">
        <w:rPr>
          <w:i/>
        </w:rPr>
        <w:t xml:space="preserve">de </w:t>
      </w:r>
      <w:proofErr w:type="spellStart"/>
      <w:r w:rsidR="00640AC4" w:rsidRPr="00E77C2F">
        <w:rPr>
          <w:i/>
        </w:rPr>
        <w:t>minimis</w:t>
      </w:r>
      <w:proofErr w:type="spellEnd"/>
      <w:r w:rsidR="00640AC4" w:rsidRPr="00640AC4">
        <w:t xml:space="preserve"> exception.</w:t>
      </w:r>
      <w:r w:rsidR="00695835">
        <w:t xml:space="preserve">  . . . </w:t>
      </w:r>
      <w:r w:rsidR="00640AC4" w:rsidRPr="00640AC4">
        <w:t xml:space="preserve"> </w:t>
      </w:r>
    </w:p>
    <w:p w:rsidR="00E77C2F" w:rsidRDefault="00E77C2F" w:rsidP="0006374F">
      <w:pPr>
        <w:ind w:left="720"/>
      </w:pPr>
    </w:p>
    <w:p w:rsidR="00313B6A" w:rsidRDefault="00640AC4" w:rsidP="0006374F">
      <w:pPr>
        <w:ind w:left="720"/>
      </w:pPr>
      <w:r w:rsidRPr="00640AC4">
        <w:t>The 2015 notice provides that, when a domestic entity acquisition satisfies the</w:t>
      </w:r>
      <w:r w:rsidR="00695835">
        <w:t xml:space="preserve"> </w:t>
      </w:r>
      <w:r w:rsidRPr="00640AC4">
        <w:t xml:space="preserve">requirements of the </w:t>
      </w:r>
      <w:r w:rsidRPr="00695835">
        <w:rPr>
          <w:i/>
        </w:rPr>
        <w:t xml:space="preserve">de </w:t>
      </w:r>
      <w:proofErr w:type="spellStart"/>
      <w:r w:rsidRPr="00695835">
        <w:rPr>
          <w:i/>
        </w:rPr>
        <w:t>minimis</w:t>
      </w:r>
      <w:proofErr w:type="spellEnd"/>
      <w:r w:rsidRPr="00640AC4">
        <w:t xml:space="preserve"> exception, no distributions will be treated as NOCDs that</w:t>
      </w:r>
      <w:r w:rsidR="00695835">
        <w:t xml:space="preserve"> </w:t>
      </w:r>
      <w:r w:rsidRPr="00640AC4">
        <w:t xml:space="preserve">are disregarded under the NOCD rule. </w:t>
      </w:r>
      <w:r w:rsidR="00313B6A">
        <w:t xml:space="preserve">. . . </w:t>
      </w:r>
    </w:p>
    <w:p w:rsidR="00313B6A" w:rsidRDefault="00313B6A" w:rsidP="0006374F">
      <w:pPr>
        <w:ind w:left="720"/>
      </w:pPr>
    </w:p>
    <w:p w:rsidR="00640AC4" w:rsidRDefault="00640AC4" w:rsidP="0006374F">
      <w:pPr>
        <w:ind w:left="720"/>
      </w:pPr>
      <w:r w:rsidRPr="00640AC4">
        <w:t>Further, the 2014 notice provides that §1.367(a)-3(c) (concerning outbound</w:t>
      </w:r>
      <w:r w:rsidR="00313B6A">
        <w:t xml:space="preserve"> </w:t>
      </w:r>
      <w:r w:rsidRPr="00640AC4">
        <w:t>transfers of stock or securities of a domestic corporation)</w:t>
      </w:r>
      <w:r w:rsidR="00313B6A">
        <w:t xml:space="preserve"> </w:t>
      </w:r>
      <w:r w:rsidRPr="00640AC4">
        <w:t>will be modified to include a</w:t>
      </w:r>
      <w:r w:rsidR="00313B6A">
        <w:t xml:space="preserve"> </w:t>
      </w:r>
      <w:r w:rsidRPr="00640AC4">
        <w:t>rule that incorporates the principles of the NOCD rule for purposes of the substantiality</w:t>
      </w:r>
      <w:r w:rsidR="00313B6A">
        <w:t xml:space="preserve"> </w:t>
      </w:r>
      <w:r w:rsidRPr="00640AC4">
        <w:t>test, which, in general, requires that the value of the foreign acquiring corporation be</w:t>
      </w:r>
      <w:r w:rsidR="002810AC">
        <w:t xml:space="preserve"> </w:t>
      </w:r>
      <w:r w:rsidRPr="00640AC4">
        <w:t>equal to or greater than the value of the domestic target corporation.</w:t>
      </w:r>
    </w:p>
    <w:p w:rsidR="002810AC" w:rsidRPr="00640AC4" w:rsidRDefault="002810AC" w:rsidP="0006374F">
      <w:pPr>
        <w:ind w:left="720"/>
      </w:pPr>
    </w:p>
    <w:p w:rsidR="00640AC4" w:rsidRPr="00640AC4" w:rsidRDefault="00640AC4" w:rsidP="0006374F">
      <w:pPr>
        <w:ind w:left="720"/>
      </w:pPr>
      <w:r w:rsidRPr="00640AC4">
        <w:t>b. Regulations implementing the NOCD rule</w:t>
      </w:r>
    </w:p>
    <w:p w:rsidR="00640AC4" w:rsidRDefault="000F192E" w:rsidP="0006374F">
      <w:pPr>
        <w:ind w:left="720"/>
      </w:pPr>
      <w:r>
        <w:t>Section</w:t>
      </w:r>
      <w:r w:rsidR="00640AC4" w:rsidRPr="00640AC4">
        <w:t xml:space="preserve"> 1.7874-10T sets forth the NOCD rule as described in the 2014 notice</w:t>
      </w:r>
      <w:r w:rsidR="002810AC">
        <w:t xml:space="preserve"> </w:t>
      </w:r>
      <w:r w:rsidR="00640AC4" w:rsidRPr="00640AC4">
        <w:t>and the 2015 notice, subject to certain modifications, in part, to address comments</w:t>
      </w:r>
      <w:r w:rsidR="002810AC">
        <w:t xml:space="preserve"> </w:t>
      </w:r>
      <w:r w:rsidR="00640AC4" w:rsidRPr="00640AC4">
        <w:t xml:space="preserve">received. </w:t>
      </w:r>
      <w:r>
        <w:t>Section</w:t>
      </w:r>
      <w:r w:rsidR="00640AC4" w:rsidRPr="00640AC4">
        <w:t xml:space="preserve"> 1.367(a)-3T(c</w:t>
      </w:r>
      <w:proofErr w:type="gramStart"/>
      <w:r w:rsidR="00640AC4" w:rsidRPr="00640AC4">
        <w:t>)(</w:t>
      </w:r>
      <w:proofErr w:type="gramEnd"/>
      <w:r w:rsidR="00640AC4" w:rsidRPr="00640AC4">
        <w:t>3)(iii)(C) sets forth a similar rule for purposes of the</w:t>
      </w:r>
      <w:r w:rsidR="002810AC">
        <w:t xml:space="preserve"> </w:t>
      </w:r>
      <w:r w:rsidR="00640AC4" w:rsidRPr="00640AC4">
        <w:t>substantiality test under §1.367(a)-3(c).</w:t>
      </w:r>
      <w:r w:rsidR="0006374F">
        <w:rPr>
          <w:rStyle w:val="FootnoteReference"/>
        </w:rPr>
        <w:footnoteReference w:id="12"/>
      </w:r>
    </w:p>
    <w:p w:rsidR="00A95C01" w:rsidRDefault="00A95C01" w:rsidP="0006374F">
      <w:pPr>
        <w:ind w:left="720"/>
      </w:pPr>
    </w:p>
    <w:p w:rsidR="00A95C01" w:rsidRDefault="00A95C01" w:rsidP="00A95C01">
      <w:r>
        <w:t>The “General Rule Regarding NOCDs”</w:t>
      </w:r>
      <w:r w:rsidR="008628CE">
        <w:t xml:space="preserve"> is </w:t>
      </w:r>
      <w:r>
        <w:t>in § 1.7874-</w:t>
      </w:r>
      <w:proofErr w:type="gramStart"/>
      <w:r w:rsidR="008D3095">
        <w:t>10T(</w:t>
      </w:r>
      <w:proofErr w:type="gramEnd"/>
      <w:r w:rsidR="008D3095">
        <w:t xml:space="preserve">b), </w:t>
      </w:r>
      <w:r w:rsidR="008628CE">
        <w:t xml:space="preserve">which, </w:t>
      </w:r>
      <w:r w:rsidR="008D3095">
        <w:t>subject to certain exceptions, provides:</w:t>
      </w:r>
    </w:p>
    <w:p w:rsidR="008D3095" w:rsidRDefault="008D3095" w:rsidP="00A95C01"/>
    <w:p w:rsidR="008D3095" w:rsidRDefault="008D3095" w:rsidP="008D3095">
      <w:pPr>
        <w:ind w:left="720"/>
      </w:pPr>
      <w:r>
        <w:t>[F]</w:t>
      </w:r>
      <w:r w:rsidRPr="008D3095">
        <w:t xml:space="preserve">or purposes of determining the </w:t>
      </w:r>
      <w:r w:rsidRPr="00790A52">
        <w:rPr>
          <w:b/>
        </w:rPr>
        <w:t>ownership percentage</w:t>
      </w:r>
      <w:r w:rsidRPr="008D3095">
        <w:t xml:space="preserve"> by value (but not vote)</w:t>
      </w:r>
      <w:r>
        <w:t xml:space="preserve"> </w:t>
      </w:r>
      <w:r w:rsidRPr="008D3095">
        <w:t xml:space="preserve">described in section 7874(a)(2)(B)(ii), former domestic entity shareholders </w:t>
      </w:r>
      <w:r w:rsidR="00316F87">
        <w:t xml:space="preserve">. . . </w:t>
      </w:r>
      <w:r w:rsidRPr="008D3095">
        <w:t xml:space="preserve">are treated as receiving, </w:t>
      </w:r>
      <w:r w:rsidRPr="00316F87">
        <w:rPr>
          <w:b/>
        </w:rPr>
        <w:t>by reason of</w:t>
      </w:r>
      <w:r w:rsidRPr="008D3095">
        <w:t xml:space="preserve"> holding</w:t>
      </w:r>
      <w:r w:rsidR="00316F87">
        <w:t xml:space="preserve"> </w:t>
      </w:r>
      <w:r w:rsidRPr="008D3095">
        <w:t>stock</w:t>
      </w:r>
      <w:r w:rsidR="00316F87">
        <w:t xml:space="preserve"> . . . </w:t>
      </w:r>
      <w:r w:rsidRPr="008D3095">
        <w:t>in a domestic entity, stock of the foreign acquiring</w:t>
      </w:r>
      <w:r w:rsidR="00316F87">
        <w:t xml:space="preserve"> </w:t>
      </w:r>
      <w:r w:rsidRPr="008D3095">
        <w:t>corporation with a fair market value equal to the amount of the non-ordinary course</w:t>
      </w:r>
      <w:r w:rsidR="007035EE">
        <w:t xml:space="preserve"> </w:t>
      </w:r>
      <w:r w:rsidRPr="008D3095">
        <w:t>distributions (NOCDs), determined as of the date of the distributions, made by the</w:t>
      </w:r>
      <w:r w:rsidR="007035EE">
        <w:t xml:space="preserve"> </w:t>
      </w:r>
      <w:r w:rsidRPr="008D3095">
        <w:t>domestic entity during the look-back period</w:t>
      </w:r>
      <w:r w:rsidR="007035EE">
        <w:t xml:space="preserve"> </w:t>
      </w:r>
      <w:r w:rsidR="007035EE" w:rsidRPr="004558B9">
        <w:rPr>
          <w:b/>
        </w:rPr>
        <w:t>[th</w:t>
      </w:r>
      <w:r w:rsidR="00CB2812" w:rsidRPr="004558B9">
        <w:rPr>
          <w:b/>
        </w:rPr>
        <w:t>e 36 month period ending on the completion date]</w:t>
      </w:r>
      <w:r w:rsidRPr="008D3095">
        <w:t>. The stock of the foreign acquiring</w:t>
      </w:r>
      <w:r w:rsidR="004558B9">
        <w:t xml:space="preserve"> </w:t>
      </w:r>
      <w:r w:rsidRPr="008D3095">
        <w:t>corporation treated as received under this paragraph (b) is in addition to stock of the</w:t>
      </w:r>
      <w:r w:rsidR="004558B9">
        <w:t xml:space="preserve"> </w:t>
      </w:r>
      <w:r w:rsidRPr="008D3095">
        <w:t>foreign acquiring corporation otherwise treated as received by the former domestic</w:t>
      </w:r>
      <w:r w:rsidR="004558B9">
        <w:t xml:space="preserve"> </w:t>
      </w:r>
      <w:r w:rsidRPr="008D3095">
        <w:t>entity shareholders</w:t>
      </w:r>
      <w:r w:rsidR="004558B9">
        <w:t xml:space="preserve"> . . . </w:t>
      </w:r>
      <w:r w:rsidRPr="008D3095">
        <w:t>by reason of holding stock</w:t>
      </w:r>
      <w:r w:rsidR="00767D37">
        <w:t xml:space="preserve"> . . . </w:t>
      </w:r>
      <w:r w:rsidRPr="008D3095">
        <w:t>in the domestic entity.</w:t>
      </w:r>
    </w:p>
    <w:p w:rsidR="006E6A60" w:rsidRDefault="006E6A60" w:rsidP="008D3095">
      <w:pPr>
        <w:ind w:left="720"/>
      </w:pPr>
    </w:p>
    <w:p w:rsidR="006E6A60" w:rsidRDefault="006E6A60" w:rsidP="006E6A60">
      <w:r w:rsidRPr="006E6A60">
        <w:rPr>
          <w:i/>
        </w:rPr>
        <w:t>See</w:t>
      </w:r>
      <w:r>
        <w:t xml:space="preserve"> Slide #8 for </w:t>
      </w:r>
      <w:r>
        <w:t xml:space="preserve">an </w:t>
      </w:r>
      <w:r>
        <w:t xml:space="preserve">illustration of slimming down NOCDs. </w:t>
      </w:r>
    </w:p>
    <w:p w:rsidR="00E370ED" w:rsidRDefault="00AA4497" w:rsidP="00B34C4A">
      <w:pPr>
        <w:pStyle w:val="Heading2"/>
      </w:pPr>
      <w:bookmarkStart w:id="71" w:name="_Toc449441990"/>
      <w:r>
        <w:t>APPLICATION OF THE EAG RULES WHEN THERE IS A RELATED TRANSFER OF STOCK OF THE FOREIGN ACQUIRING CORPORATION,</w:t>
      </w:r>
      <w:r w:rsidR="00B75467">
        <w:t xml:space="preserve"> THE SPINVERSION RULE,</w:t>
      </w:r>
      <w:r w:rsidR="003F132B">
        <w:t xml:space="preserve"> </w:t>
      </w:r>
      <w:r w:rsidR="006768D3">
        <w:t xml:space="preserve">§ </w:t>
      </w:r>
      <w:r w:rsidRPr="00521413">
        <w:t>1.7874-</w:t>
      </w:r>
      <w:r>
        <w:t>6</w:t>
      </w:r>
      <w:r w:rsidRPr="00521413">
        <w:t>T</w:t>
      </w:r>
      <w:bookmarkEnd w:id="71"/>
    </w:p>
    <w:p w:rsidR="00B75467" w:rsidRPr="00B75467" w:rsidRDefault="00B75467" w:rsidP="00B75467">
      <w:pPr>
        <w:pStyle w:val="Heading3"/>
      </w:pPr>
      <w:bookmarkStart w:id="72" w:name="_Toc449441991"/>
      <w:r>
        <w:t>INTRODUCTION</w:t>
      </w:r>
      <w:bookmarkEnd w:id="72"/>
    </w:p>
    <w:p w:rsidR="00175F96" w:rsidRDefault="00175F96" w:rsidP="00A12CB2">
      <w:r>
        <w:t xml:space="preserve">This highly complex provision is only introduced here.  The preamble to the 2016 General Inversion </w:t>
      </w:r>
      <w:proofErr w:type="spellStart"/>
      <w:r>
        <w:t>Regs</w:t>
      </w:r>
      <w:proofErr w:type="spellEnd"/>
      <w:r w:rsidR="00EE4E5F">
        <w:t xml:space="preserve"> gives the following general description of the rule, which is based on a provision of the 2014 Notice: </w:t>
      </w:r>
    </w:p>
    <w:p w:rsidR="00C03F56" w:rsidRPr="00C03F56" w:rsidRDefault="00C03F56" w:rsidP="00A12CB2"/>
    <w:p w:rsidR="00A12CB2" w:rsidRPr="00C03F56" w:rsidRDefault="000F192E" w:rsidP="00B32EF8">
      <w:pPr>
        <w:ind w:left="720"/>
      </w:pPr>
      <w:r>
        <w:t>Section</w:t>
      </w:r>
      <w:r w:rsidR="00A12CB2" w:rsidRPr="00C03F56">
        <w:t xml:space="preserve"> 2.03(b) of the 2014 notice provides a rule concerning the interaction of</w:t>
      </w:r>
    </w:p>
    <w:p w:rsidR="00A12CB2" w:rsidRDefault="00A12CB2" w:rsidP="00B32EF8">
      <w:pPr>
        <w:ind w:left="720"/>
      </w:pPr>
      <w:r w:rsidRPr="00C03F56">
        <w:t>§1.7874-5T and the EAG</w:t>
      </w:r>
      <w:r w:rsidR="00C03F56">
        <w:t xml:space="preserve"> [Expanded Affiliate Group]</w:t>
      </w:r>
      <w:r w:rsidRPr="00C03F56">
        <w:t xml:space="preserve"> rules. Subject to two exceptions, the 2014 notice provides</w:t>
      </w:r>
      <w:r w:rsidR="000977F6">
        <w:t xml:space="preserve"> </w:t>
      </w:r>
      <w:r w:rsidRPr="00C03F56">
        <w:t xml:space="preserve">that certain stock, referred to as “transferred stock,” is not </w:t>
      </w:r>
      <w:r w:rsidRPr="00C03F56">
        <w:lastRenderedPageBreak/>
        <w:t>treated as held by a member</w:t>
      </w:r>
      <w:r w:rsidR="000977F6">
        <w:t xml:space="preserve"> </w:t>
      </w:r>
      <w:r w:rsidRPr="00C03F56">
        <w:t>of the EAG for purposes of applying the EAG rules. As a result, transferred stock</w:t>
      </w:r>
      <w:r w:rsidR="000977F6">
        <w:t xml:space="preserve"> </w:t>
      </w:r>
      <w:r w:rsidRPr="00C03F56">
        <w:t>generally is included in both the numerator and the denominator of the ownership</w:t>
      </w:r>
      <w:r w:rsidR="000977F6">
        <w:t xml:space="preserve"> </w:t>
      </w:r>
      <w:r w:rsidRPr="00C03F56">
        <w:t>fraction. See §1.7874-</w:t>
      </w:r>
      <w:proofErr w:type="gramStart"/>
      <w:r w:rsidRPr="00C03F56">
        <w:t>5T(</w:t>
      </w:r>
      <w:proofErr w:type="gramEnd"/>
      <w:r w:rsidRPr="00C03F56">
        <w:t>a). For this purpose, transferred stock is stock of a foreign</w:t>
      </w:r>
      <w:r w:rsidR="008502EB">
        <w:t xml:space="preserve"> </w:t>
      </w:r>
      <w:r w:rsidRPr="00C03F56">
        <w:t xml:space="preserve">acquiring corporation described in </w:t>
      </w:r>
      <w:r w:rsidR="000F192E">
        <w:t>Section</w:t>
      </w:r>
      <w:r w:rsidRPr="00C03F56">
        <w:t xml:space="preserve"> 7874(a</w:t>
      </w:r>
      <w:proofErr w:type="gramStart"/>
      <w:r w:rsidRPr="00C03F56">
        <w:t>)(</w:t>
      </w:r>
      <w:proofErr w:type="gramEnd"/>
      <w:r w:rsidRPr="00C03F56">
        <w:t>2)(B)(ii) (that is, by-reason-of stock)</w:t>
      </w:r>
      <w:r w:rsidR="008502EB">
        <w:t xml:space="preserve"> </w:t>
      </w:r>
      <w:r w:rsidRPr="00C03F56">
        <w:t xml:space="preserve">that is received by a former domestic entity shareholder </w:t>
      </w:r>
      <w:r w:rsidR="008502EB">
        <w:t>. . . that</w:t>
      </w:r>
      <w:r w:rsidRPr="00C03F56">
        <w:t xml:space="preserve"> is a corporation (transferring corporation), and, in a transaction (or series of</w:t>
      </w:r>
      <w:r w:rsidR="008502EB">
        <w:t xml:space="preserve"> </w:t>
      </w:r>
      <w:r w:rsidRPr="00C03F56">
        <w:t>transactions) related to the domestic entity acquisition, is subsequently transferred.</w:t>
      </w:r>
    </w:p>
    <w:p w:rsidR="00396D89" w:rsidRDefault="00396D89" w:rsidP="00B32EF8">
      <w:pPr>
        <w:ind w:left="720"/>
      </w:pPr>
    </w:p>
    <w:p w:rsidR="00396D89" w:rsidRDefault="00396D89" w:rsidP="00396D89">
      <w:pPr>
        <w:ind w:left="720"/>
      </w:pPr>
      <w:r w:rsidRPr="00396D89">
        <w:t>The 2014 notice also described two exceptions to this rule: the U.S.-parented</w:t>
      </w:r>
      <w:r>
        <w:t xml:space="preserve"> </w:t>
      </w:r>
      <w:r w:rsidRPr="00396D89">
        <w:t xml:space="preserve">group </w:t>
      </w:r>
      <w:r w:rsidR="00926E2C">
        <w:t xml:space="preserve">[an affiliated group that has a domestic corporation as a common parent] </w:t>
      </w:r>
      <w:r w:rsidRPr="00396D89">
        <w:t>exception and the foreign-parented group</w:t>
      </w:r>
      <w:r w:rsidR="00FF7802">
        <w:t xml:space="preserve"> [an affiliated group that has a foreign corporation as a common parent</w:t>
      </w:r>
      <w:proofErr w:type="gramStart"/>
      <w:r w:rsidR="00FF7802">
        <w:t xml:space="preserve">] </w:t>
      </w:r>
      <w:r w:rsidRPr="00396D89">
        <w:t xml:space="preserve"> exception</w:t>
      </w:r>
      <w:proofErr w:type="gramEnd"/>
      <w:r w:rsidRPr="00396D89">
        <w:t>. When either of these</w:t>
      </w:r>
      <w:r>
        <w:t xml:space="preserve"> </w:t>
      </w:r>
      <w:r w:rsidRPr="00396D89">
        <w:t>exceptions applies, transferred stock is treated as held by members of the EAG for</w:t>
      </w:r>
      <w:r>
        <w:t xml:space="preserve"> </w:t>
      </w:r>
      <w:r w:rsidRPr="00396D89">
        <w:t>purposes of applying the EAG rules. In these cases, transferred stock is excluded from</w:t>
      </w:r>
      <w:r>
        <w:t xml:space="preserve"> </w:t>
      </w:r>
      <w:r w:rsidRPr="00396D89">
        <w:t>the numerator of the ownership fraction and, depending on the application of §1.7874-1(c), may be excluded from the denominator of the ownership fraction. See §1.7874-1(b) and (c).</w:t>
      </w:r>
    </w:p>
    <w:p w:rsidR="00FA03B6" w:rsidRPr="00396D89" w:rsidRDefault="00FA03B6" w:rsidP="00396D89">
      <w:pPr>
        <w:ind w:left="720"/>
      </w:pPr>
    </w:p>
    <w:p w:rsidR="00396D89" w:rsidRDefault="00396D89" w:rsidP="00396D89">
      <w:pPr>
        <w:ind w:left="720"/>
      </w:pPr>
      <w:r w:rsidRPr="00396D89">
        <w:t>The U.S.-parented group exception applies if: (</w:t>
      </w:r>
      <w:proofErr w:type="spellStart"/>
      <w:r w:rsidRPr="00396D89">
        <w:t>i</w:t>
      </w:r>
      <w:proofErr w:type="spellEnd"/>
      <w:r w:rsidRPr="00396D89">
        <w:t>) before and after the domestic</w:t>
      </w:r>
      <w:r w:rsidR="00FA03B6">
        <w:t xml:space="preserve"> </w:t>
      </w:r>
      <w:r w:rsidRPr="00396D89">
        <w:t>entity acquisition, the transferring corporation (or its successor) is a member of a U.S.-parented group, and (ii) after the domestic entity acquisition, both the person that holds</w:t>
      </w:r>
      <w:r w:rsidR="00FA03B6">
        <w:t xml:space="preserve"> </w:t>
      </w:r>
      <w:r w:rsidRPr="00396D89">
        <w:t>the transferred stock after all related transfers of the transferred stock are complete and</w:t>
      </w:r>
      <w:r w:rsidR="00FA03B6">
        <w:t xml:space="preserve"> </w:t>
      </w:r>
      <w:r w:rsidRPr="00396D89">
        <w:t>the foreign acquiring corporation are members of the U.S.-parented group referred to in</w:t>
      </w:r>
      <w:r w:rsidR="00FA03B6">
        <w:t xml:space="preserve"> </w:t>
      </w:r>
      <w:r w:rsidRPr="00396D89">
        <w:t>(</w:t>
      </w:r>
      <w:proofErr w:type="spellStart"/>
      <w:r w:rsidRPr="00396D89">
        <w:t>i</w:t>
      </w:r>
      <w:proofErr w:type="spellEnd"/>
      <w:r w:rsidRPr="00396D89">
        <w:t>).</w:t>
      </w:r>
    </w:p>
    <w:p w:rsidR="00E87DBF" w:rsidRPr="00396D89" w:rsidRDefault="00E87DBF" w:rsidP="00396D89">
      <w:pPr>
        <w:ind w:left="720"/>
      </w:pPr>
    </w:p>
    <w:p w:rsidR="00396D89" w:rsidRPr="00396D89" w:rsidRDefault="00396D89" w:rsidP="00396D89">
      <w:pPr>
        <w:ind w:left="720"/>
      </w:pPr>
      <w:r w:rsidRPr="00396D89">
        <w:t>The foreign-parented group exception applies if: (</w:t>
      </w:r>
      <w:proofErr w:type="spellStart"/>
      <w:r w:rsidRPr="00396D89">
        <w:t>i</w:t>
      </w:r>
      <w:proofErr w:type="spellEnd"/>
      <w:r w:rsidRPr="00396D89">
        <w:t>) before the domestic entity</w:t>
      </w:r>
      <w:r w:rsidR="00E87DBF">
        <w:t xml:space="preserve"> </w:t>
      </w:r>
      <w:r w:rsidRPr="00396D89">
        <w:t>acquisition, the transferring corporation and the domestic entity are members of the</w:t>
      </w:r>
    </w:p>
    <w:p w:rsidR="00396D89" w:rsidRDefault="00396D89" w:rsidP="00396D89">
      <w:pPr>
        <w:ind w:left="720"/>
      </w:pPr>
      <w:r w:rsidRPr="00396D89">
        <w:t>same foreign-parented group, and (ii) after the domestic entity acquisition, the</w:t>
      </w:r>
      <w:r w:rsidR="00E87DBF">
        <w:t xml:space="preserve"> </w:t>
      </w:r>
      <w:r w:rsidRPr="00396D89">
        <w:t>transferring corporation is a member of the EAG, or would be a member of the EAG</w:t>
      </w:r>
      <w:r w:rsidR="00E87DBF">
        <w:t xml:space="preserve"> </w:t>
      </w:r>
      <w:r w:rsidRPr="00396D89">
        <w:t>absent the subsequent transfer of any stock of the foreign acquiring corporation by a</w:t>
      </w:r>
      <w:r w:rsidR="00E87DBF">
        <w:t xml:space="preserve"> </w:t>
      </w:r>
      <w:r w:rsidRPr="00396D89">
        <w:t>member of the foreign-parented group in a transaction related to the domestic entity</w:t>
      </w:r>
      <w:r w:rsidR="00DC748A">
        <w:t xml:space="preserve"> </w:t>
      </w:r>
      <w:r w:rsidRPr="00396D89">
        <w:t>acquisition (but taking into account all other transactions related to such acquisition).</w:t>
      </w:r>
    </w:p>
    <w:p w:rsidR="00DC748A" w:rsidRPr="00396D89" w:rsidRDefault="00DC748A" w:rsidP="00396D89">
      <w:pPr>
        <w:ind w:left="720"/>
      </w:pPr>
    </w:p>
    <w:p w:rsidR="00396D89" w:rsidRPr="00396D89" w:rsidRDefault="00396D89" w:rsidP="00396D89">
      <w:pPr>
        <w:ind w:left="720"/>
      </w:pPr>
      <w:r w:rsidRPr="00396D89">
        <w:t>The 2014 notice defines a U.S.-parented group as an affiliated group that has a</w:t>
      </w:r>
      <w:r w:rsidR="00DC748A">
        <w:t xml:space="preserve"> </w:t>
      </w:r>
      <w:r w:rsidRPr="00396D89">
        <w:t>domestic corporation as the common parent corporation, and a foreign-parented group</w:t>
      </w:r>
      <w:r w:rsidR="00DC748A">
        <w:t xml:space="preserve"> </w:t>
      </w:r>
      <w:r w:rsidRPr="00396D89">
        <w:t>as an affiliated group that has a foreign corporation as the common parent corporation.</w:t>
      </w:r>
    </w:p>
    <w:p w:rsidR="00396D89" w:rsidRDefault="00396D89" w:rsidP="00396D89">
      <w:pPr>
        <w:ind w:left="720"/>
      </w:pPr>
      <w:r w:rsidRPr="00396D89">
        <w:t>For this purpose, the term “affiliated group” means an affiliated group as defined in</w:t>
      </w:r>
      <w:r w:rsidR="00DC748A">
        <w:t xml:space="preserve"> </w:t>
      </w:r>
      <w:r w:rsidR="000F192E">
        <w:t>Section</w:t>
      </w:r>
      <w:r w:rsidRPr="00396D89">
        <w:t xml:space="preserve"> 1504(a) but without regard to </w:t>
      </w:r>
      <w:r w:rsidR="000F192E">
        <w:t>Section</w:t>
      </w:r>
      <w:r w:rsidRPr="00396D89">
        <w:t xml:space="preserve"> 1504(b)(3), except that </w:t>
      </w:r>
      <w:r w:rsidR="000F192E">
        <w:t>Section</w:t>
      </w:r>
      <w:r w:rsidRPr="00396D89">
        <w:t xml:space="preserve"> 1504(a) is</w:t>
      </w:r>
      <w:r w:rsidR="00DC748A">
        <w:t xml:space="preserve"> </w:t>
      </w:r>
      <w:r w:rsidRPr="00396D89">
        <w:t>applied by substituting the term “more than 50 percent” for the term “at least 80 percent”</w:t>
      </w:r>
      <w:r w:rsidR="001656C0">
        <w:t xml:space="preserve"> </w:t>
      </w:r>
      <w:r w:rsidRPr="00396D89">
        <w:t>each place it appears. Finally, the 2014 notice provides that, except as provided in the</w:t>
      </w:r>
      <w:r w:rsidR="001656C0">
        <w:t xml:space="preserve"> </w:t>
      </w:r>
      <w:r w:rsidRPr="00396D89">
        <w:t>foreign-parented group exception, all transactions related to the domestic entity</w:t>
      </w:r>
      <w:r w:rsidR="001656C0">
        <w:t xml:space="preserve"> </w:t>
      </w:r>
      <w:r w:rsidRPr="00396D89">
        <w:t>acquisition must be taken into account for purposes of determining an EAG, a U.S.-parented group, and a foreign-parented group.</w:t>
      </w:r>
    </w:p>
    <w:p w:rsidR="001E54E3" w:rsidRPr="00C03F56" w:rsidRDefault="001E54E3" w:rsidP="00B32EF8">
      <w:pPr>
        <w:ind w:left="720"/>
      </w:pPr>
    </w:p>
    <w:p w:rsidR="00A12CB2" w:rsidRPr="00C03F56" w:rsidRDefault="00A12CB2" w:rsidP="00B32EF8">
      <w:pPr>
        <w:ind w:left="720"/>
      </w:pPr>
      <w:r w:rsidRPr="00C03F56">
        <w:t>3. Regulations Implementing the Rule</w:t>
      </w:r>
    </w:p>
    <w:p w:rsidR="00FF24AD" w:rsidRDefault="000F192E" w:rsidP="00B32EF8">
      <w:pPr>
        <w:ind w:left="720"/>
      </w:pPr>
      <w:r>
        <w:t>Section</w:t>
      </w:r>
      <w:r w:rsidR="00A12CB2" w:rsidRPr="00C03F56">
        <w:t xml:space="preserve"> 1.7874-6T sets forth the rule concerning the interaction of §1.7874-5T</w:t>
      </w:r>
      <w:r w:rsidR="00FF24AD">
        <w:t xml:space="preserve"> </w:t>
      </w:r>
      <w:r w:rsidR="00A12CB2" w:rsidRPr="00C03F56">
        <w:t xml:space="preserve">and the EAG rules, as described in the 2014 notice, subject to </w:t>
      </w:r>
      <w:r w:rsidR="00FF24AD">
        <w:t xml:space="preserve">[certain] </w:t>
      </w:r>
      <w:proofErr w:type="gramStart"/>
      <w:r w:rsidR="00A12CB2" w:rsidRPr="00C03F56">
        <w:t>modifications</w:t>
      </w:r>
      <w:r w:rsidR="00FF24AD">
        <w:t>[</w:t>
      </w:r>
      <w:proofErr w:type="gramEnd"/>
      <w:r w:rsidR="00FF24AD">
        <w:t>.]</w:t>
      </w:r>
      <w:r w:rsidR="00FF24AD">
        <w:rPr>
          <w:rStyle w:val="FootnoteReference"/>
        </w:rPr>
        <w:footnoteReference w:id="13"/>
      </w:r>
    </w:p>
    <w:p w:rsidR="00FF24AD" w:rsidRDefault="00FF24AD" w:rsidP="007E5909">
      <w:pPr>
        <w:rPr>
          <w:b/>
        </w:rPr>
      </w:pPr>
    </w:p>
    <w:p w:rsidR="007B4F8E" w:rsidRDefault="007B4F8E" w:rsidP="007E5909">
      <w:r w:rsidRPr="007B4F8E">
        <w:t>Section 1.7874-</w:t>
      </w:r>
      <w:proofErr w:type="gramStart"/>
      <w:r w:rsidRPr="007B4F8E">
        <w:t>6T(</w:t>
      </w:r>
      <w:proofErr w:type="gramEnd"/>
      <w:r w:rsidRPr="007B4F8E">
        <w:t>b)</w:t>
      </w:r>
      <w:r>
        <w:t xml:space="preserve">, which implements this provision, subject to certain exceptions provides: </w:t>
      </w:r>
    </w:p>
    <w:p w:rsidR="007B4F8E" w:rsidRDefault="007B4F8E" w:rsidP="007E5909"/>
    <w:p w:rsidR="007B4F8E" w:rsidRDefault="00ED49C5" w:rsidP="00797442">
      <w:pPr>
        <w:ind w:left="720"/>
      </w:pPr>
      <w:r>
        <w:t>[T]</w:t>
      </w:r>
      <w:proofErr w:type="spellStart"/>
      <w:r w:rsidRPr="00ED49C5">
        <w:t>ransferred</w:t>
      </w:r>
      <w:proofErr w:type="spellEnd"/>
      <w:r>
        <w:t xml:space="preserve"> </w:t>
      </w:r>
      <w:r w:rsidRPr="00ED49C5">
        <w:t>stock</w:t>
      </w:r>
      <w:r w:rsidR="00522236">
        <w:t xml:space="preserve"> </w:t>
      </w:r>
      <w:r w:rsidR="00036A1B">
        <w:t>[</w:t>
      </w:r>
      <w:r w:rsidR="00036A1B" w:rsidRPr="00036A1B">
        <w:rPr>
          <w:i/>
        </w:rPr>
        <w:t>i.e</w:t>
      </w:r>
      <w:r w:rsidR="00036A1B">
        <w:t>., “</w:t>
      </w:r>
      <w:r w:rsidR="00036A1B" w:rsidRPr="00036A1B">
        <w:t>stock of the</w:t>
      </w:r>
      <w:r w:rsidR="00036A1B">
        <w:t xml:space="preserve"> </w:t>
      </w:r>
      <w:r w:rsidR="00036A1B" w:rsidRPr="00036A1B">
        <w:t>foreign acquiring corporation described in section 7874(a)(2)(B)(ii) that is received by a</w:t>
      </w:r>
      <w:r w:rsidR="00036A1B">
        <w:t xml:space="preserve"> </w:t>
      </w:r>
      <w:r w:rsidR="00036A1B" w:rsidRPr="00036A1B">
        <w:t>transferring corporation and, in a transaction</w:t>
      </w:r>
      <w:r w:rsidR="00036A1B">
        <w:t xml:space="preserve"> . . . </w:t>
      </w:r>
      <w:r w:rsidR="00036A1B" w:rsidRPr="00036A1B">
        <w:t>related to the</w:t>
      </w:r>
      <w:r w:rsidR="006851C5">
        <w:t xml:space="preserve"> </w:t>
      </w:r>
      <w:r w:rsidR="00036A1B" w:rsidRPr="00036A1B">
        <w:t>domestic entity acquisition, is subsequently transferred</w:t>
      </w:r>
      <w:r w:rsidR="006851C5">
        <w:t xml:space="preserve">”] </w:t>
      </w:r>
      <w:r w:rsidRPr="00ED49C5">
        <w:t xml:space="preserve"> is not treated as held by members of the EAG for purposes of applying section</w:t>
      </w:r>
      <w:r w:rsidR="001E7139">
        <w:t xml:space="preserve"> </w:t>
      </w:r>
      <w:r w:rsidRPr="00ED49C5">
        <w:t>7874(c)(2)(A)</w:t>
      </w:r>
      <w:r w:rsidR="00B703B4">
        <w:t xml:space="preserve"> </w:t>
      </w:r>
      <w:r w:rsidR="00B703B4" w:rsidRPr="00B703B4">
        <w:rPr>
          <w:b/>
        </w:rPr>
        <w:t xml:space="preserve">[excluding stock held by members of the EAG from the Ownership </w:t>
      </w:r>
      <w:proofErr w:type="spellStart"/>
      <w:r w:rsidR="00B703B4" w:rsidRPr="00B703B4">
        <w:rPr>
          <w:b/>
        </w:rPr>
        <w:t>Fractio</w:t>
      </w:r>
      <w:r w:rsidR="000C5F12">
        <w:rPr>
          <w:b/>
        </w:rPr>
        <w:t>N</w:t>
      </w:r>
      <w:proofErr w:type="spellEnd"/>
      <w:r w:rsidR="00B703B4" w:rsidRPr="00B703B4">
        <w:rPr>
          <w:b/>
        </w:rPr>
        <w:t>]</w:t>
      </w:r>
      <w:r w:rsidRPr="00ED49C5">
        <w:t xml:space="preserve"> and §1.7874-1. Transferred stock that is not treated as held by members</w:t>
      </w:r>
      <w:r w:rsidR="006851C5">
        <w:t xml:space="preserve"> </w:t>
      </w:r>
      <w:r w:rsidRPr="00ED49C5">
        <w:t>of the EAG for purposes of applying section 7874(c</w:t>
      </w:r>
      <w:proofErr w:type="gramStart"/>
      <w:r w:rsidRPr="00ED49C5">
        <w:t>)(</w:t>
      </w:r>
      <w:proofErr w:type="gramEnd"/>
      <w:r w:rsidRPr="00ED49C5">
        <w:t>2)(A) and §1.7874-1 is included in</w:t>
      </w:r>
      <w:r w:rsidR="006851C5">
        <w:t xml:space="preserve"> </w:t>
      </w:r>
      <w:r w:rsidRPr="00ED49C5">
        <w:t>the numerator and the denominator of the ownership fraction. See §1.7874-</w:t>
      </w:r>
      <w:proofErr w:type="gramStart"/>
      <w:r w:rsidRPr="00ED49C5">
        <w:t>5T(</w:t>
      </w:r>
      <w:proofErr w:type="gramEnd"/>
      <w:r w:rsidRPr="00ED49C5">
        <w:t>a).</w:t>
      </w:r>
    </w:p>
    <w:p w:rsidR="00797442" w:rsidRDefault="00B75467" w:rsidP="00B75467">
      <w:pPr>
        <w:pStyle w:val="Heading3"/>
      </w:pPr>
      <w:bookmarkStart w:id="73" w:name="_Toc449441992"/>
      <w:r>
        <w:t>THE SPINVERSION EXAMPLE</w:t>
      </w:r>
      <w:bookmarkEnd w:id="73"/>
    </w:p>
    <w:p w:rsidR="00116EFC" w:rsidRDefault="000C5F12" w:rsidP="00116EFC">
      <w:r>
        <w:t>The above principles are illustrated in</w:t>
      </w:r>
      <w:r w:rsidR="00116EFC">
        <w:t xml:space="preserve"> the Example 1 of §1.7874-</w:t>
      </w:r>
      <w:proofErr w:type="gramStart"/>
      <w:r w:rsidR="00116EFC">
        <w:t>6T(</w:t>
      </w:r>
      <w:proofErr w:type="gramEnd"/>
      <w:r w:rsidR="00116EFC">
        <w:t>g), which is based on a “</w:t>
      </w:r>
      <w:proofErr w:type="spellStart"/>
      <w:r w:rsidR="00116EFC">
        <w:t>Spinversion</w:t>
      </w:r>
      <w:proofErr w:type="spellEnd"/>
      <w:r w:rsidR="00116EFC">
        <w:t xml:space="preserve">” example in the 2014 Notice.  </w:t>
      </w:r>
      <w:r w:rsidR="00E3392F">
        <w:t>In reading</w:t>
      </w:r>
      <w:r w:rsidR="00044138">
        <w:t xml:space="preserve"> this </w:t>
      </w:r>
      <w:proofErr w:type="spellStart"/>
      <w:r w:rsidR="00044138">
        <w:t>Spinversion</w:t>
      </w:r>
      <w:proofErr w:type="spellEnd"/>
      <w:r w:rsidR="00044138">
        <w:t xml:space="preserve"> example, which is set out here, </w:t>
      </w:r>
      <w:r w:rsidR="00E3392F">
        <w:t>notice how the rule prevents the use of a spin-off as a way of setting up an inversion</w:t>
      </w:r>
      <w:proofErr w:type="gramStart"/>
      <w:r w:rsidR="00044138">
        <w:t>:</w:t>
      </w:r>
      <w:r w:rsidR="00E3392F">
        <w:t xml:space="preserve">  </w:t>
      </w:r>
      <w:r w:rsidR="00116EFC">
        <w:t>:</w:t>
      </w:r>
      <w:proofErr w:type="gramEnd"/>
    </w:p>
    <w:p w:rsidR="00797442" w:rsidRDefault="00797442" w:rsidP="00ED49C5"/>
    <w:p w:rsidR="00F83723" w:rsidRPr="00F83723" w:rsidRDefault="00F83723" w:rsidP="005A26D0">
      <w:pPr>
        <w:ind w:left="720"/>
      </w:pPr>
      <w:proofErr w:type="gramStart"/>
      <w:r w:rsidRPr="00BE09C4">
        <w:rPr>
          <w:i/>
        </w:rPr>
        <w:t>Example 1</w:t>
      </w:r>
      <w:r w:rsidRPr="00F83723">
        <w:t>.</w:t>
      </w:r>
      <w:proofErr w:type="gramEnd"/>
      <w:r w:rsidRPr="00F83723">
        <w:t xml:space="preserve"> </w:t>
      </w:r>
      <w:r w:rsidRPr="00BE09C4">
        <w:rPr>
          <w:i/>
        </w:rPr>
        <w:t>U.S.-parented group exception not available</w:t>
      </w:r>
      <w:r w:rsidRPr="00F83723">
        <w:t>--(</w:t>
      </w:r>
      <w:proofErr w:type="spellStart"/>
      <w:r w:rsidRPr="00F83723">
        <w:t>i</w:t>
      </w:r>
      <w:proofErr w:type="spellEnd"/>
      <w:r w:rsidRPr="00F83723">
        <w:t xml:space="preserve">) </w:t>
      </w:r>
      <w:r w:rsidRPr="00C07C95">
        <w:rPr>
          <w:i/>
        </w:rPr>
        <w:t>Facts</w:t>
      </w:r>
      <w:r w:rsidRPr="00F83723">
        <w:t>. USP, a</w:t>
      </w:r>
      <w:r w:rsidR="00BE09C4">
        <w:t xml:space="preserve"> </w:t>
      </w:r>
      <w:r w:rsidRPr="00F83723">
        <w:t>domestic corporation wholly owned by Individual A, owns all the stock of DT, a domestic</w:t>
      </w:r>
      <w:r w:rsidR="00BE09C4">
        <w:t xml:space="preserve"> </w:t>
      </w:r>
      <w:r w:rsidRPr="00F83723">
        <w:t>corporation, as well as other property. The DT stock does not represent substantially all</w:t>
      </w:r>
      <w:r w:rsidR="00BE09C4">
        <w:t xml:space="preserve"> </w:t>
      </w:r>
      <w:r w:rsidRPr="00F83723">
        <w:t xml:space="preserve">of the property of USP for purposes of </w:t>
      </w:r>
      <w:r w:rsidR="000F192E">
        <w:t>Section</w:t>
      </w:r>
      <w:r w:rsidRPr="00F83723">
        <w:t xml:space="preserve"> 7874. Pursuant to a reorganization</w:t>
      </w:r>
      <w:r w:rsidR="00C07C95">
        <w:t xml:space="preserve"> </w:t>
      </w:r>
      <w:r w:rsidRPr="00F83723">
        <w:t xml:space="preserve">described in </w:t>
      </w:r>
      <w:r w:rsidR="000F192E">
        <w:t>Section</w:t>
      </w:r>
      <w:r w:rsidRPr="00F83723">
        <w:t xml:space="preserve"> 368(a)(1)(D), USP transfers all the DT stock to FA, a newly formed</w:t>
      </w:r>
      <w:r w:rsidR="00C07C95">
        <w:t xml:space="preserve"> </w:t>
      </w:r>
      <w:r w:rsidRPr="00F83723">
        <w:t>foreign corporation, in exchange for 100 shares of FA stock (DT acquisition) and</w:t>
      </w:r>
      <w:r w:rsidR="00C07C95">
        <w:t xml:space="preserve"> </w:t>
      </w:r>
      <w:r w:rsidRPr="00F83723">
        <w:t xml:space="preserve">distributes the FA stock to Individual A pursuant to </w:t>
      </w:r>
      <w:r w:rsidR="000F192E">
        <w:t>Section</w:t>
      </w:r>
      <w:r w:rsidRPr="00F83723">
        <w:t xml:space="preserve"> 361(c)(1).</w:t>
      </w:r>
    </w:p>
    <w:p w:rsidR="00C07C95" w:rsidRDefault="00C07C95" w:rsidP="005A26D0">
      <w:pPr>
        <w:ind w:left="720"/>
      </w:pPr>
    </w:p>
    <w:p w:rsidR="00F83723" w:rsidRDefault="00F83723" w:rsidP="005A26D0">
      <w:pPr>
        <w:ind w:left="720"/>
      </w:pPr>
      <w:r w:rsidRPr="00F83723">
        <w:t xml:space="preserve">(ii) </w:t>
      </w:r>
      <w:r w:rsidRPr="00C07C95">
        <w:rPr>
          <w:i/>
        </w:rPr>
        <w:t>Analysis</w:t>
      </w:r>
      <w:r w:rsidRPr="00F83723">
        <w:t>. The 100 FA shares received by USP are stock of a foreign</w:t>
      </w:r>
      <w:r w:rsidR="00C07C95">
        <w:t xml:space="preserve"> </w:t>
      </w:r>
      <w:r w:rsidRPr="00F83723">
        <w:t xml:space="preserve">acquiring corporation described in </w:t>
      </w:r>
      <w:r w:rsidR="000F192E">
        <w:t>Section</w:t>
      </w:r>
      <w:r w:rsidRPr="00F83723">
        <w:t xml:space="preserve"> 7874(a)(2)(B)(ii) and, under §1.7874-5T(a),</w:t>
      </w:r>
      <w:r w:rsidR="00C07C95">
        <w:t xml:space="preserve"> </w:t>
      </w:r>
      <w:r w:rsidRPr="00F83723">
        <w:t>the shares retain their status as such even though USP subsequently distributes the</w:t>
      </w:r>
      <w:r w:rsidR="00C07C95">
        <w:t xml:space="preserve"> </w:t>
      </w:r>
      <w:r w:rsidRPr="00F83723">
        <w:t xml:space="preserve">shares to Individual A pursuant to </w:t>
      </w:r>
      <w:r w:rsidR="000F192E">
        <w:t>Section</w:t>
      </w:r>
      <w:r w:rsidRPr="00F83723">
        <w:t xml:space="preserve"> 361(c)(1). Thus, the 100 FA shares are</w:t>
      </w:r>
      <w:r w:rsidR="00C07C95">
        <w:t xml:space="preserve"> </w:t>
      </w:r>
      <w:r w:rsidRPr="00F83723">
        <w:t>included in the ownership fraction, unless the shares are treated as held by members of</w:t>
      </w:r>
      <w:r w:rsidR="00C07C95">
        <w:t xml:space="preserve"> </w:t>
      </w:r>
      <w:r w:rsidRPr="00F83723">
        <w:t xml:space="preserve">the EAG for purposes of applying </w:t>
      </w:r>
      <w:r w:rsidR="000F192E">
        <w:t>Section</w:t>
      </w:r>
      <w:r w:rsidRPr="00F83723">
        <w:t xml:space="preserve"> 7874(c</w:t>
      </w:r>
      <w:proofErr w:type="gramStart"/>
      <w:r w:rsidRPr="00F83723">
        <w:t>)(</w:t>
      </w:r>
      <w:proofErr w:type="gramEnd"/>
      <w:r w:rsidRPr="00F83723">
        <w:t>2)(A) and §1.7874-1 and are</w:t>
      </w:r>
      <w:r w:rsidR="00C07C95">
        <w:t xml:space="preserve"> </w:t>
      </w:r>
      <w:r w:rsidRPr="00F83723">
        <w:t>excluded from the ownership fraction under those rules. For purposes of applying</w:t>
      </w:r>
      <w:r w:rsidR="00C07C95">
        <w:t xml:space="preserve"> </w:t>
      </w:r>
      <w:r w:rsidR="000F192E">
        <w:t>Section</w:t>
      </w:r>
      <w:r w:rsidRPr="00F83723">
        <w:t xml:space="preserve"> 7874(c)(2)(A) and §1.7874-1, the 100 FA shares, which constitute transferred</w:t>
      </w:r>
      <w:r w:rsidR="00C07C95">
        <w:t xml:space="preserve"> </w:t>
      </w:r>
      <w:r w:rsidRPr="00F83723">
        <w:t xml:space="preserve">stock under paragraph (f)(2) of this </w:t>
      </w:r>
      <w:r w:rsidR="000F192E">
        <w:t>Section</w:t>
      </w:r>
      <w:r w:rsidRPr="00F83723">
        <w:t>, are treated as held by members of the EAG</w:t>
      </w:r>
      <w:r w:rsidR="00C07C95">
        <w:t xml:space="preserve"> </w:t>
      </w:r>
      <w:r w:rsidRPr="00F83723">
        <w:t xml:space="preserve">only if an exception in paragraph (c) of this </w:t>
      </w:r>
      <w:r w:rsidR="000F192E">
        <w:t>Section</w:t>
      </w:r>
      <w:r w:rsidRPr="00F83723">
        <w:t xml:space="preserve"> applies. See paragraph (b) of this</w:t>
      </w:r>
      <w:r w:rsidR="00C07ABD">
        <w:t xml:space="preserve"> </w:t>
      </w:r>
      <w:r w:rsidR="000F192E">
        <w:t>Section</w:t>
      </w:r>
      <w:r w:rsidRPr="00F83723">
        <w:t>. The U.S.-parented group exception described in paragraph (c</w:t>
      </w:r>
      <w:proofErr w:type="gramStart"/>
      <w:r w:rsidRPr="00F83723">
        <w:t>)(</w:t>
      </w:r>
      <w:proofErr w:type="gramEnd"/>
      <w:r w:rsidRPr="00F83723">
        <w:t>1) of this</w:t>
      </w:r>
      <w:r w:rsidR="00C07ABD">
        <w:t xml:space="preserve"> </w:t>
      </w:r>
      <w:r w:rsidR="000F192E">
        <w:t>Section</w:t>
      </w:r>
      <w:r w:rsidRPr="00F83723">
        <w:t xml:space="preserve"> does not apply. Although before the DT acquisition, USP (the transferring</w:t>
      </w:r>
      <w:r w:rsidR="00C07ABD">
        <w:t xml:space="preserve"> </w:t>
      </w:r>
      <w:r w:rsidRPr="00F83723">
        <w:t>corporation) is a member of a U.S.-parented group of which USP is the common parent,</w:t>
      </w:r>
      <w:r w:rsidR="00C07ABD">
        <w:t xml:space="preserve"> </w:t>
      </w:r>
      <w:r w:rsidRPr="00F83723">
        <w:t>after the DT acquisition, and taking into account all transactions related to the</w:t>
      </w:r>
      <w:r w:rsidR="00C07ABD">
        <w:t xml:space="preserve"> </w:t>
      </w:r>
      <w:r w:rsidRPr="00F83723">
        <w:t>acquisition, each of USP, Individual A (the person that holds the transferred stock), and</w:t>
      </w:r>
      <w:r w:rsidR="00C07ABD">
        <w:t xml:space="preserve"> </w:t>
      </w:r>
      <w:r w:rsidRPr="00F83723">
        <w:t>FA (the foreign acquiring corporation) are not members of a U.S.-parented group</w:t>
      </w:r>
      <w:r w:rsidR="00C07ABD">
        <w:t xml:space="preserve"> </w:t>
      </w:r>
      <w:r w:rsidRPr="00F83723">
        <w:t xml:space="preserve">described in paragraph (c)(1)(ii)(A) or (B) of this </w:t>
      </w:r>
      <w:r w:rsidR="000F192E">
        <w:t>Section</w:t>
      </w:r>
      <w:r w:rsidRPr="00F83723">
        <w:t>. Accordingly, because the 100</w:t>
      </w:r>
      <w:r w:rsidR="00C07ABD">
        <w:t xml:space="preserve"> </w:t>
      </w:r>
      <w:r w:rsidRPr="00F83723">
        <w:t>FA shares are not treated as held by members of the EAG, those shares are included in</w:t>
      </w:r>
      <w:r w:rsidR="00A80A54">
        <w:t xml:space="preserve"> </w:t>
      </w:r>
      <w:r w:rsidRPr="00F83723">
        <w:t>the numerator and the denominator of the ownership fraction. Therefore, the ownership</w:t>
      </w:r>
      <w:r w:rsidR="00C07ABD">
        <w:t xml:space="preserve"> </w:t>
      </w:r>
      <w:r w:rsidRPr="00F83723">
        <w:t>fraction is 100/100.</w:t>
      </w:r>
    </w:p>
    <w:p w:rsidR="00024E88" w:rsidRDefault="00024E88" w:rsidP="005A26D0">
      <w:pPr>
        <w:ind w:left="720"/>
      </w:pPr>
    </w:p>
    <w:p w:rsidR="00F4061D" w:rsidRDefault="00F4061D" w:rsidP="00F4061D">
      <w:r>
        <w:t>The basic principles in this example are illustrated in the following slides 9-11:</w:t>
      </w:r>
    </w:p>
    <w:p w:rsidR="00F4061D" w:rsidRPr="00F4061D" w:rsidRDefault="00F4061D" w:rsidP="00F4061D">
      <w:pPr>
        <w:ind w:left="720"/>
      </w:pPr>
    </w:p>
    <w:p w:rsidR="00024E88" w:rsidRPr="00F4061D" w:rsidRDefault="00024E88" w:rsidP="00F4061D">
      <w:pPr>
        <w:ind w:left="720"/>
      </w:pPr>
      <w:r w:rsidRPr="00F4061D">
        <w:t>SLIDE #9 SPINVERSION, BEFORE, REG § 1.7874-</w:t>
      </w:r>
      <w:proofErr w:type="gramStart"/>
      <w:r w:rsidRPr="00F4061D">
        <w:t>6T(</w:t>
      </w:r>
      <w:proofErr w:type="gramEnd"/>
      <w:r w:rsidRPr="00F4061D">
        <w:t>g), EXAMPLE 1</w:t>
      </w:r>
      <w:r w:rsidR="00F4061D">
        <w:t>,</w:t>
      </w:r>
    </w:p>
    <w:p w:rsidR="00024E88" w:rsidRPr="00F4061D" w:rsidRDefault="00024E88" w:rsidP="00F4061D">
      <w:pPr>
        <w:ind w:left="720"/>
      </w:pPr>
      <w:r w:rsidRPr="00F4061D">
        <w:t>SLIDE #10 SPINVERSION, THE SPIN, REG § 1.7874-</w:t>
      </w:r>
      <w:proofErr w:type="gramStart"/>
      <w:r w:rsidRPr="00F4061D">
        <w:t>6T(</w:t>
      </w:r>
      <w:proofErr w:type="gramEnd"/>
      <w:r w:rsidRPr="00F4061D">
        <w:t>g), EX</w:t>
      </w:r>
      <w:r w:rsidR="000553B3">
        <w:t>P</w:t>
      </w:r>
      <w:r w:rsidRPr="00F4061D">
        <w:t xml:space="preserve"> 1</w:t>
      </w:r>
      <w:r w:rsidR="00924823">
        <w:t>,</w:t>
      </w:r>
      <w:r w:rsidR="000553B3">
        <w:t xml:space="preserve"> USP SPINS OFF DT TO FA</w:t>
      </w:r>
      <w:r w:rsidR="00924823">
        <w:t xml:space="preserve"> and</w:t>
      </w:r>
      <w:r w:rsidR="00F4061D">
        <w:t>,</w:t>
      </w:r>
    </w:p>
    <w:p w:rsidR="00924823" w:rsidRDefault="00F4061D" w:rsidP="00F4061D">
      <w:pPr>
        <w:ind w:left="720"/>
      </w:pPr>
      <w:r w:rsidRPr="00F4061D">
        <w:t>SLIDE #11 SPINVERSION, AFTER, REG § 1.7874-</w:t>
      </w:r>
      <w:proofErr w:type="gramStart"/>
      <w:r w:rsidRPr="00F4061D">
        <w:t>6T(</w:t>
      </w:r>
      <w:proofErr w:type="gramEnd"/>
      <w:r w:rsidRPr="00F4061D">
        <w:t>g), EXAMPLE 1</w:t>
      </w:r>
      <w:r w:rsidR="000553B3">
        <w:t>, DT HAS INVERTED AS SUB OF FA</w:t>
      </w:r>
      <w:r w:rsidR="00924823">
        <w:t>.</w:t>
      </w:r>
    </w:p>
    <w:p w:rsidR="00D66E60" w:rsidRDefault="00D66E60" w:rsidP="00F4061D">
      <w:pPr>
        <w:ind w:left="720"/>
      </w:pPr>
    </w:p>
    <w:p w:rsidR="00D66E60" w:rsidRPr="00F4061D" w:rsidRDefault="00D66E60" w:rsidP="00D66E60">
      <w:r>
        <w:t>Slide #9 shows a completely domestic structure</w:t>
      </w:r>
      <w:r w:rsidR="00424C2F">
        <w:t xml:space="preserve">, with DT </w:t>
      </w:r>
      <w:proofErr w:type="spellStart"/>
      <w:r w:rsidR="00424C2F">
        <w:t>corp</w:t>
      </w:r>
      <w:proofErr w:type="spellEnd"/>
      <w:r w:rsidR="00424C2F">
        <w:t xml:space="preserve"> owned by domestic USP</w:t>
      </w:r>
      <w:r w:rsidR="006716B1">
        <w:t xml:space="preserve"> </w:t>
      </w:r>
      <w:proofErr w:type="spellStart"/>
      <w:r w:rsidR="006716B1">
        <w:t>corp</w:t>
      </w:r>
      <w:proofErr w:type="spellEnd"/>
      <w:r w:rsidR="00424C2F">
        <w:t xml:space="preserve">, which is owned by individual A.  </w:t>
      </w:r>
      <w:r w:rsidR="00E56026">
        <w:t xml:space="preserve">USP owns other assets.  </w:t>
      </w:r>
      <w:proofErr w:type="gramStart"/>
      <w:r w:rsidR="00E56026">
        <w:t>Slide #10 show</w:t>
      </w:r>
      <w:proofErr w:type="gramEnd"/>
      <w:r w:rsidR="00E56026">
        <w:t xml:space="preserve"> USP transferring the stock of DT to FA in exchange for stock of FA, and then distributing the stock of FA to individual </w:t>
      </w:r>
      <w:r w:rsidR="00AC212A">
        <w:t>A.</w:t>
      </w:r>
      <w:r w:rsidR="006716B1">
        <w:t xml:space="preserve">  This </w:t>
      </w:r>
      <w:proofErr w:type="gramStart"/>
      <w:r w:rsidR="006716B1">
        <w:t>spinoff,</w:t>
      </w:r>
      <w:proofErr w:type="gramEnd"/>
      <w:r w:rsidR="006716B1">
        <w:t xml:space="preserve"> may or may not qualify under Section 355.  </w:t>
      </w:r>
      <w:r w:rsidR="00AC212A">
        <w:t>Slide 11 shows that when the dust settles on this transaction, FA owns DT</w:t>
      </w:r>
      <w:r w:rsidR="00616280">
        <w:t>,</w:t>
      </w:r>
      <w:r w:rsidR="00AC212A">
        <w:t xml:space="preserve"> and DT has in essence been inverted</w:t>
      </w:r>
      <w:r w:rsidR="00196B0E">
        <w:t xml:space="preserve">.  The diagram does not show any other shareholders of FA, but </w:t>
      </w:r>
      <w:r w:rsidR="00B70601">
        <w:t>in a normal inversion there would be sufficient other shareholders of prevent FA from being a CFC</w:t>
      </w:r>
      <w:r w:rsidR="00AC212A">
        <w:t xml:space="preserve">.  </w:t>
      </w:r>
      <w:r>
        <w:t xml:space="preserve"> </w:t>
      </w:r>
    </w:p>
    <w:p w:rsidR="00CC27CB" w:rsidRPr="006D3B49" w:rsidRDefault="00AA4497" w:rsidP="00B34C4A">
      <w:pPr>
        <w:pStyle w:val="Heading2"/>
      </w:pPr>
      <w:bookmarkStart w:id="74" w:name="_Toc449441993"/>
      <w:r w:rsidRPr="006D3B49">
        <w:t>THE SUBSTANTIAL BUSINESS ACTIVITIES TEST, THE SUBJECT TO TAX RULE, §</w:t>
      </w:r>
      <w:r w:rsidR="006768D3">
        <w:t xml:space="preserve"> </w:t>
      </w:r>
      <w:r w:rsidRPr="006D3B49">
        <w:t>1.7874-</w:t>
      </w:r>
      <w:proofErr w:type="gramStart"/>
      <w:r w:rsidRPr="006D3B49">
        <w:t>3T(</w:t>
      </w:r>
      <w:proofErr w:type="gramEnd"/>
      <w:r w:rsidR="001931F8">
        <w:t>b</w:t>
      </w:r>
      <w:r w:rsidRPr="006D3B49">
        <w:t>)(4)</w:t>
      </w:r>
      <w:bookmarkEnd w:id="74"/>
      <w:r w:rsidRPr="006D3B49">
        <w:t xml:space="preserve"> </w:t>
      </w:r>
    </w:p>
    <w:p w:rsidR="00BD0BE2" w:rsidRDefault="00BD0BE2" w:rsidP="00CC27CB">
      <w:pPr>
        <w:rPr>
          <w:b/>
        </w:rPr>
      </w:pPr>
      <w:r>
        <w:t xml:space="preserve">The preamble to the 2016 General Inversion </w:t>
      </w:r>
      <w:proofErr w:type="spellStart"/>
      <w:r>
        <w:t>Regs</w:t>
      </w:r>
      <w:proofErr w:type="spellEnd"/>
      <w:r>
        <w:t xml:space="preserve"> gives the following description of this </w:t>
      </w:r>
      <w:r w:rsidR="000B58EF">
        <w:t>substantial business activities test and the Subject-to-tax rule</w:t>
      </w:r>
      <w:r w:rsidR="007B5AB2">
        <w:t xml:space="preserve">, </w:t>
      </w:r>
      <w:r>
        <w:t xml:space="preserve">which was added by the 2015 Notice: </w:t>
      </w:r>
    </w:p>
    <w:p w:rsidR="006D3B49" w:rsidRDefault="006D3B49" w:rsidP="00CC27CB">
      <w:pPr>
        <w:rPr>
          <w:b/>
        </w:rPr>
      </w:pPr>
    </w:p>
    <w:p w:rsidR="00D21897" w:rsidRPr="00D21897" w:rsidRDefault="00D21897" w:rsidP="00BD0BE2">
      <w:pPr>
        <w:ind w:left="720"/>
      </w:pPr>
      <w:r w:rsidRPr="00D21897">
        <w:t>D. The substantial business activities test</w:t>
      </w:r>
    </w:p>
    <w:p w:rsidR="00D21897" w:rsidRPr="00D21897" w:rsidRDefault="00D21897" w:rsidP="00BD0BE2">
      <w:pPr>
        <w:ind w:left="720"/>
      </w:pPr>
      <w:r w:rsidRPr="00D21897">
        <w:t>1. The Subject-to-Tax Rule</w:t>
      </w:r>
    </w:p>
    <w:p w:rsidR="00D21897" w:rsidRDefault="000F192E" w:rsidP="00BD0BE2">
      <w:pPr>
        <w:ind w:left="720"/>
      </w:pPr>
      <w:r>
        <w:t>Section</w:t>
      </w:r>
      <w:r w:rsidR="00D21897" w:rsidRPr="00D21897">
        <w:t xml:space="preserve"> 2.02(a) of the 2015 notice provides a rule (the subject-to-tax rule) that</w:t>
      </w:r>
      <w:r w:rsidR="00D21897">
        <w:t xml:space="preserve"> </w:t>
      </w:r>
      <w:r w:rsidR="00D21897" w:rsidRPr="00D21897">
        <w:t>addresses domestic entity acquisitions in which a taxpayer asserts that its EAG has</w:t>
      </w:r>
      <w:r w:rsidR="00D21897">
        <w:t xml:space="preserve"> </w:t>
      </w:r>
      <w:r w:rsidR="00D21897" w:rsidRPr="00D21897">
        <w:t>substantial business activities in the relevant foreign country when compared to the</w:t>
      </w:r>
      <w:r w:rsidR="00D21897">
        <w:t xml:space="preserve"> </w:t>
      </w:r>
      <w:r w:rsidR="00D21897" w:rsidRPr="00D21897">
        <w:t>EAG’s total business activities even though the foreign acquiring corporation is not</w:t>
      </w:r>
      <w:r w:rsidR="00D21897">
        <w:t xml:space="preserve"> </w:t>
      </w:r>
      <w:r w:rsidR="00D21897" w:rsidRPr="00D21897">
        <w:t>subject to tax as a resident of the relevant foreign country. Under the subject-to-tax</w:t>
      </w:r>
      <w:r w:rsidR="00D21897">
        <w:t xml:space="preserve"> </w:t>
      </w:r>
      <w:r w:rsidR="00D21897" w:rsidRPr="00D21897">
        <w:t>rule, an EAG cannot have substantial business activities in the relevant foreign country</w:t>
      </w:r>
      <w:r w:rsidR="006D3B49">
        <w:t xml:space="preserve"> </w:t>
      </w:r>
      <w:r w:rsidR="00D21897" w:rsidRPr="00D21897">
        <w:t>when compared to the EAG’s total business activities unless the foreign acquiring</w:t>
      </w:r>
      <w:r w:rsidR="006D3B49">
        <w:t xml:space="preserve"> </w:t>
      </w:r>
      <w:r w:rsidR="00D21897" w:rsidRPr="00D21897">
        <w:t>corporation is subject to tax as a resident of the relevant foreign country.</w:t>
      </w:r>
    </w:p>
    <w:p w:rsidR="006D3B49" w:rsidRPr="00D21897" w:rsidRDefault="006D3B49" w:rsidP="00BD0BE2">
      <w:pPr>
        <w:ind w:left="720"/>
      </w:pPr>
    </w:p>
    <w:p w:rsidR="00D21897" w:rsidRPr="00D21897" w:rsidRDefault="00D21897" w:rsidP="00BD0BE2">
      <w:pPr>
        <w:ind w:left="720"/>
      </w:pPr>
      <w:r w:rsidRPr="00D21897">
        <w:t>The temporary regulations implement the subject-to-tax rule described in the</w:t>
      </w:r>
    </w:p>
    <w:p w:rsidR="00BD0BE2" w:rsidRDefault="00D21897" w:rsidP="00BD0BE2">
      <w:pPr>
        <w:ind w:left="720"/>
      </w:pPr>
      <w:r w:rsidRPr="00D21897">
        <w:t>2015 notice without making any substantive changes. See §1.7874-</w:t>
      </w:r>
      <w:proofErr w:type="gramStart"/>
      <w:r w:rsidRPr="00D21897">
        <w:t>3T(</w:t>
      </w:r>
      <w:proofErr w:type="gramEnd"/>
      <w:r w:rsidRPr="00D21897">
        <w:t>b)(4).</w:t>
      </w:r>
      <w:r w:rsidR="00E67973">
        <w:rPr>
          <w:rStyle w:val="FootnoteReference"/>
        </w:rPr>
        <w:footnoteReference w:id="14"/>
      </w:r>
      <w:r w:rsidRPr="00D21897">
        <w:t xml:space="preserve"> </w:t>
      </w:r>
    </w:p>
    <w:p w:rsidR="0029263D" w:rsidRDefault="00D4067F" w:rsidP="00B34C4A">
      <w:pPr>
        <w:pStyle w:val="Heading2"/>
      </w:pPr>
      <w:bookmarkStart w:id="75" w:name="_Toc449441994"/>
      <w:r>
        <w:t>CLARIFICATION OF GROUP INCOME</w:t>
      </w:r>
      <w:r w:rsidR="00AF78C5">
        <w:t xml:space="preserve"> FOR PURPOSES OF THE SUBSTANTIAL BUSINESS ACTIVITIES TEST</w:t>
      </w:r>
      <w:r>
        <w:t>,</w:t>
      </w:r>
      <w:r w:rsidR="0029263D">
        <w:t xml:space="preserve"> § 1.7874-3</w:t>
      </w:r>
      <w:bookmarkEnd w:id="75"/>
    </w:p>
    <w:p w:rsidR="00C53E2E" w:rsidRDefault="006F5A2D" w:rsidP="001D3F7D">
      <w:pPr>
        <w:autoSpaceDE w:val="0"/>
        <w:autoSpaceDN w:val="0"/>
        <w:adjustRightInd w:val="0"/>
      </w:pPr>
      <w:r>
        <w:t>Section 7874(a)</w:t>
      </w:r>
      <w:r w:rsidR="0072353D">
        <w:t xml:space="preserve"> does not apply unless there is an “expatriated entity,” which is defined in Section 7874(a</w:t>
      </w:r>
      <w:proofErr w:type="gramStart"/>
      <w:r w:rsidR="0072353D">
        <w:t>)(</w:t>
      </w:r>
      <w:proofErr w:type="gramEnd"/>
      <w:r w:rsidR="0072353D">
        <w:t>2)</w:t>
      </w:r>
      <w:r w:rsidR="00A65E4E">
        <w:t xml:space="preserve"> as a domestic corporation with respect to which a foreign corporation is a</w:t>
      </w:r>
      <w:r>
        <w:t xml:space="preserve"> </w:t>
      </w:r>
      <w:r w:rsidR="000D2850">
        <w:t>“</w:t>
      </w:r>
      <w:r>
        <w:t>surrogate foreign corporation</w:t>
      </w:r>
      <w:r w:rsidR="00E56ED4">
        <w:t>.</w:t>
      </w:r>
      <w:r w:rsidR="000D2850">
        <w:t>”</w:t>
      </w:r>
      <w:r>
        <w:t xml:space="preserve"> </w:t>
      </w:r>
      <w:r w:rsidR="00E56ED4">
        <w:t>The term “surrogate foreign corporation” is defined in Section 7874(a</w:t>
      </w:r>
      <w:proofErr w:type="gramStart"/>
      <w:r w:rsidR="00E56ED4">
        <w:t>)(</w:t>
      </w:r>
      <w:proofErr w:type="gramEnd"/>
      <w:r w:rsidR="00E56ED4">
        <w:t>2)(B)</w:t>
      </w:r>
      <w:r w:rsidR="00AC30EC">
        <w:t xml:space="preserve"> as a foreign corporation with respect to which</w:t>
      </w:r>
      <w:r w:rsidR="004E700B">
        <w:t xml:space="preserve">, in general, </w:t>
      </w:r>
      <w:r w:rsidR="00C53E2E">
        <w:t xml:space="preserve">the following three conditions are satisfied: </w:t>
      </w:r>
    </w:p>
    <w:p w:rsidR="00C53E2E" w:rsidRDefault="00C53E2E" w:rsidP="001D3F7D">
      <w:pPr>
        <w:autoSpaceDE w:val="0"/>
        <w:autoSpaceDN w:val="0"/>
        <w:adjustRightInd w:val="0"/>
      </w:pPr>
    </w:p>
    <w:p w:rsidR="00124372" w:rsidRDefault="00CB5831" w:rsidP="00736A85">
      <w:pPr>
        <w:autoSpaceDE w:val="0"/>
        <w:autoSpaceDN w:val="0"/>
        <w:adjustRightInd w:val="0"/>
        <w:ind w:left="720"/>
      </w:pPr>
      <w:r>
        <w:t xml:space="preserve">(1) </w:t>
      </w:r>
      <w:proofErr w:type="gramStart"/>
      <w:r w:rsidR="00FF349B">
        <w:t>th</w:t>
      </w:r>
      <w:r w:rsidR="00C53E2E">
        <w:t>e</w:t>
      </w:r>
      <w:proofErr w:type="gramEnd"/>
      <w:r w:rsidR="00C53E2E">
        <w:t xml:space="preserve"> foreign corporation </w:t>
      </w:r>
      <w:r w:rsidR="00FF349B">
        <w:t>acquires a U.S. corporation</w:t>
      </w:r>
      <w:r w:rsidR="004E700B">
        <w:t>;</w:t>
      </w:r>
      <w:r>
        <w:t xml:space="preserve"> </w:t>
      </w:r>
    </w:p>
    <w:p w:rsidR="00736A85" w:rsidRDefault="00CB5831" w:rsidP="00736A85">
      <w:pPr>
        <w:autoSpaceDE w:val="0"/>
        <w:autoSpaceDN w:val="0"/>
        <w:adjustRightInd w:val="0"/>
        <w:ind w:left="720"/>
      </w:pPr>
      <w:r>
        <w:lastRenderedPageBreak/>
        <w:t xml:space="preserve">(2) in </w:t>
      </w:r>
      <w:r w:rsidR="00124372">
        <w:t>the acquisition the</w:t>
      </w:r>
      <w:r>
        <w:t xml:space="preserve"> shareholders of the U.S. corporation</w:t>
      </w:r>
      <w:r w:rsidR="00C94C90">
        <w:t xml:space="preserve"> </w:t>
      </w:r>
      <w:r w:rsidR="00124372">
        <w:t>“</w:t>
      </w:r>
      <w:r w:rsidR="00C94C90">
        <w:t>by reason of</w:t>
      </w:r>
      <w:r w:rsidR="00124372">
        <w:t>”</w:t>
      </w:r>
      <w:r w:rsidR="00C94C90">
        <w:t xml:space="preserve"> holding stock in the U.S. corporation </w:t>
      </w:r>
      <w:r w:rsidR="00662E62">
        <w:t>hold</w:t>
      </w:r>
      <w:r w:rsidR="00C94C90">
        <w:t xml:space="preserve">, by vote or value, at least 60% of the stock of the foreign corporation, </w:t>
      </w:r>
      <w:r w:rsidR="0040238A">
        <w:t xml:space="preserve">and </w:t>
      </w:r>
    </w:p>
    <w:p w:rsidR="00736A85" w:rsidRDefault="0040238A" w:rsidP="00736A85">
      <w:pPr>
        <w:autoSpaceDE w:val="0"/>
        <w:autoSpaceDN w:val="0"/>
        <w:adjustRightInd w:val="0"/>
        <w:ind w:left="720"/>
      </w:pPr>
      <w:r>
        <w:t xml:space="preserve">(3) </w:t>
      </w:r>
      <w:proofErr w:type="gramStart"/>
      <w:r>
        <w:t>after</w:t>
      </w:r>
      <w:proofErr w:type="gramEnd"/>
      <w:r>
        <w:t xml:space="preserve"> the acquisition the </w:t>
      </w:r>
      <w:r w:rsidR="00124372">
        <w:t>expanded affiliated group (</w:t>
      </w:r>
      <w:r>
        <w:t>EAG</w:t>
      </w:r>
      <w:r w:rsidR="00124372">
        <w:t>)</w:t>
      </w:r>
      <w:r>
        <w:t xml:space="preserve"> does not have </w:t>
      </w:r>
      <w:r w:rsidRPr="0042350C">
        <w:rPr>
          <w:b/>
        </w:rPr>
        <w:t>“substantial business activities”</w:t>
      </w:r>
      <w:r>
        <w:t xml:space="preserve"> in the foreign country in which the foreign corporation is organized.  </w:t>
      </w:r>
    </w:p>
    <w:p w:rsidR="00736A85" w:rsidRDefault="00736A85" w:rsidP="001D3F7D">
      <w:pPr>
        <w:autoSpaceDE w:val="0"/>
        <w:autoSpaceDN w:val="0"/>
        <w:adjustRightInd w:val="0"/>
      </w:pPr>
    </w:p>
    <w:p w:rsidR="006C2935" w:rsidRDefault="0029263D" w:rsidP="001D3F7D">
      <w:pPr>
        <w:autoSpaceDE w:val="0"/>
        <w:autoSpaceDN w:val="0"/>
        <w:adjustRightInd w:val="0"/>
      </w:pPr>
      <w:r w:rsidRPr="0029045A">
        <w:t xml:space="preserve">The preamble to the 2016 General Inversion </w:t>
      </w:r>
      <w:proofErr w:type="spellStart"/>
      <w:r w:rsidRPr="0029045A">
        <w:t>Regs</w:t>
      </w:r>
      <w:proofErr w:type="spellEnd"/>
      <w:r w:rsidR="001D3F7D" w:rsidRPr="0029045A">
        <w:t xml:space="preserve"> gives the following introduction to the </w:t>
      </w:r>
      <w:r w:rsidR="0042350C">
        <w:t xml:space="preserve">substantial </w:t>
      </w:r>
      <w:r w:rsidR="001D3F7D" w:rsidRPr="0029045A">
        <w:t>business activities test: “Under §1.7874-3, an EAG is considered to have substantial business activities in the relevant foreign country only if at least 25 percent of its group employees, group assets, and group income are located or derived in the relevant foreign country.”</w:t>
      </w:r>
      <w:r w:rsidR="0029045A">
        <w:rPr>
          <w:rStyle w:val="FootnoteReference"/>
        </w:rPr>
        <w:footnoteReference w:id="15"/>
      </w:r>
      <w:r w:rsidR="00D23D57">
        <w:t xml:space="preserve">  </w:t>
      </w:r>
      <w:r w:rsidR="006C2935">
        <w:t xml:space="preserve">The preamble goes on to give the following guidance </w:t>
      </w:r>
      <w:r w:rsidR="00662E62">
        <w:t xml:space="preserve">regarding the determination of </w:t>
      </w:r>
      <w:r w:rsidR="006C2935">
        <w:t xml:space="preserve">group income: </w:t>
      </w:r>
    </w:p>
    <w:p w:rsidR="00421ABD" w:rsidRDefault="00421ABD" w:rsidP="001D3F7D">
      <w:pPr>
        <w:autoSpaceDE w:val="0"/>
        <w:autoSpaceDN w:val="0"/>
        <w:adjustRightInd w:val="0"/>
      </w:pPr>
    </w:p>
    <w:p w:rsidR="004D30E8" w:rsidRDefault="001D3F7D" w:rsidP="004D30E8">
      <w:pPr>
        <w:autoSpaceDE w:val="0"/>
        <w:autoSpaceDN w:val="0"/>
        <w:adjustRightInd w:val="0"/>
        <w:ind w:left="720"/>
      </w:pPr>
      <w:r w:rsidRPr="0029045A">
        <w:t>In</w:t>
      </w:r>
      <w:r w:rsidR="00421ABD">
        <w:t xml:space="preserve"> </w:t>
      </w:r>
      <w:r w:rsidRPr="0029045A">
        <w:t>general, group income is gross income from transactions occurring in the ordinary</w:t>
      </w:r>
      <w:r w:rsidR="00421ABD">
        <w:t xml:space="preserve"> </w:t>
      </w:r>
      <w:r w:rsidRPr="0029045A">
        <w:t>course of business with unrelated customers, as determined consistently under either</w:t>
      </w:r>
      <w:r w:rsidR="00421ABD">
        <w:t xml:space="preserve"> </w:t>
      </w:r>
      <w:r w:rsidRPr="0029045A">
        <w:t xml:space="preserve">federal tax principles or as reflected in the EAG’s financial statements. </w:t>
      </w:r>
      <w:r w:rsidR="00421ABD">
        <w:t>. . .</w:t>
      </w:r>
      <w:r w:rsidR="004D30E8">
        <w:t xml:space="preserve">  </w:t>
      </w:r>
      <w:r w:rsidRPr="0029045A">
        <w:t>The temporary regulations clarify that financial reporting principles</w:t>
      </w:r>
      <w:r w:rsidR="004D30E8">
        <w:t xml:space="preserve"> </w:t>
      </w:r>
      <w:r w:rsidRPr="0029045A">
        <w:t>are only relevant for determining the amount of items of income that are taken into</w:t>
      </w:r>
      <w:r w:rsidR="004D30E8">
        <w:t xml:space="preserve"> </w:t>
      </w:r>
      <w:r w:rsidRPr="0029045A">
        <w:t>account, as an EAG must take into account all items that its members (as determined</w:t>
      </w:r>
      <w:r w:rsidR="004D30E8">
        <w:t xml:space="preserve"> </w:t>
      </w:r>
      <w:r w:rsidRPr="0029045A">
        <w:t>based on the definition of EAG set forth in §1.7874-3(d)(4)) recognized for financial</w:t>
      </w:r>
      <w:r w:rsidR="004D30E8">
        <w:t xml:space="preserve"> </w:t>
      </w:r>
      <w:r w:rsidRPr="0029045A">
        <w:t>accounting purposes during the testing period</w:t>
      </w:r>
      <w:r w:rsidR="004D30E8">
        <w:t>.</w:t>
      </w:r>
      <w:r w:rsidR="004D30E8">
        <w:rPr>
          <w:rStyle w:val="FootnoteReference"/>
        </w:rPr>
        <w:footnoteReference w:id="16"/>
      </w:r>
    </w:p>
    <w:p w:rsidR="00B27A5C" w:rsidRDefault="00AA4497" w:rsidP="00B34C4A">
      <w:pPr>
        <w:pStyle w:val="Heading2"/>
      </w:pPr>
      <w:bookmarkStart w:id="76" w:name="_Toc449441995"/>
      <w:r w:rsidRPr="006D3B49">
        <w:t xml:space="preserve">THE </w:t>
      </w:r>
      <w:r>
        <w:t xml:space="preserve">ANTI-HOPSCOTCH LOAN RULE, </w:t>
      </w:r>
      <w:r w:rsidR="000F192E">
        <w:t>SECTION</w:t>
      </w:r>
      <w:r w:rsidRPr="006D3B49">
        <w:t xml:space="preserve"> §1.</w:t>
      </w:r>
      <w:r>
        <w:t>956-</w:t>
      </w:r>
      <w:proofErr w:type="gramStart"/>
      <w:r>
        <w:t>2T(</w:t>
      </w:r>
      <w:proofErr w:type="gramEnd"/>
      <w:r w:rsidR="00720597">
        <w:t>a</w:t>
      </w:r>
      <w:r>
        <w:t>)(4)</w:t>
      </w:r>
      <w:bookmarkEnd w:id="76"/>
      <w:r w:rsidRPr="006D3B49">
        <w:t xml:space="preserve"> </w:t>
      </w:r>
    </w:p>
    <w:p w:rsidR="00544531" w:rsidRPr="00544531" w:rsidRDefault="00544531" w:rsidP="00544531">
      <w:r>
        <w:t>The starting point for understanding this Anti-Hopscotch Loan rule is</w:t>
      </w:r>
      <w:r w:rsidR="00E76711">
        <w:t xml:space="preserve"> an understanding of the purposes of Section 956.  The background and purpose </w:t>
      </w:r>
      <w:r w:rsidR="00293338">
        <w:t xml:space="preserve">of Section 956 are set out as follows in the </w:t>
      </w:r>
      <w:r w:rsidR="00E76711">
        <w:t>2014 Notice</w:t>
      </w:r>
      <w:r w:rsidR="00293338">
        <w:t>:</w:t>
      </w:r>
    </w:p>
    <w:p w:rsidR="00544531" w:rsidRDefault="00544531" w:rsidP="00544531"/>
    <w:p w:rsidR="00544531" w:rsidRDefault="00544531" w:rsidP="00293338">
      <w:pPr>
        <w:ind w:left="720"/>
      </w:pPr>
      <w:r w:rsidRPr="00CE2031">
        <w:t>Section 956 is intended to prevent a U.S. shareholder of a CFC from inappropriately</w:t>
      </w:r>
      <w:r>
        <w:t xml:space="preserve"> </w:t>
      </w:r>
      <w:r w:rsidRPr="00CE2031">
        <w:t xml:space="preserve">deferring U.S. taxation of CFC earnings and profits by </w:t>
      </w:r>
      <w:r>
        <w:t>‘</w:t>
      </w:r>
      <w:r w:rsidRPr="00CE2031">
        <w:t>prevent[</w:t>
      </w:r>
      <w:proofErr w:type="spellStart"/>
      <w:r w:rsidRPr="00CE2031">
        <w:t>ing</w:t>
      </w:r>
      <w:proofErr w:type="spellEnd"/>
      <w:r w:rsidRPr="00CE2031">
        <w:t>] the repatriation of income to the United States in a manner which does not subject it to U.S. taxation.</w:t>
      </w:r>
      <w:r>
        <w:t>’</w:t>
      </w:r>
      <w:r w:rsidRPr="00CE2031">
        <w:t xml:space="preserve"> </w:t>
      </w:r>
      <w:proofErr w:type="gramStart"/>
      <w:r w:rsidRPr="00CE2031">
        <w:t>H.R. Rep. No. 1447, 87th Cong., 2d Sess., at 58 (1962).</w:t>
      </w:r>
      <w:proofErr w:type="gramEnd"/>
      <w:r w:rsidRPr="00CE2031">
        <w:t xml:space="preserve"> In the absence of section 956, a U.S. shareholder of a CFC could access the CFC's funds (untaxed earnings and profits) in a variety of ways other than by the payment of an actual taxable dividend, such that there would be no reason for the U.S. shareholder to incur the dividend tax. Section 956 eliminates this disincentive to pay a dividend by ensuring parity of treatment for different ways that CFC earnings can be made available for use in the United States or for use by the U.S. shareholder. Accordingly, under section 956, the investment by a CFC of its earnings and profits in United States property is </w:t>
      </w:r>
      <w:r>
        <w:t>‘</w:t>
      </w:r>
      <w:r w:rsidRPr="00CE2031">
        <w:t>taxed to the [CFC's] shareholders on the grounds that this is substantiall</w:t>
      </w:r>
      <w:r>
        <w:t>y the equivalent of a dividend.’</w:t>
      </w:r>
      <w:r w:rsidRPr="00CE2031">
        <w:t xml:space="preserve"> S. Rep. No. 1881, 87th Cong., 2d Sess., at 88 (1962). Section 956 (e) provides the Secretary with authority to </w:t>
      </w:r>
      <w:r>
        <w:t>‘</w:t>
      </w:r>
      <w:r w:rsidRPr="00CE2031">
        <w:t>prescribe such regulations as may be necessary . . . to prevent the avoidance of the provisions of [section 956] through reorganizations or</w:t>
      </w:r>
      <w:r>
        <w:t xml:space="preserve"> </w:t>
      </w:r>
      <w:r w:rsidRPr="00CE2031">
        <w:t>otherwise.</w:t>
      </w:r>
      <w:r>
        <w:t>’</w:t>
      </w:r>
    </w:p>
    <w:p w:rsidR="00544531" w:rsidRDefault="00544531" w:rsidP="00544531">
      <w:pPr>
        <w:rPr>
          <w:b/>
        </w:rPr>
      </w:pPr>
      <w:bookmarkStart w:id="77" w:name="_Toc400722895"/>
    </w:p>
    <w:bookmarkEnd w:id="77"/>
    <w:p w:rsidR="009D2DC1" w:rsidRDefault="00AD78F3" w:rsidP="00B27A5C">
      <w:r>
        <w:lastRenderedPageBreak/>
        <w:t xml:space="preserve">The preamble to the 2016 General Inversion </w:t>
      </w:r>
      <w:proofErr w:type="spellStart"/>
      <w:r>
        <w:t>Regs</w:t>
      </w:r>
      <w:proofErr w:type="spellEnd"/>
      <w:r>
        <w:t xml:space="preserve"> gives the following introduction to the</w:t>
      </w:r>
      <w:r w:rsidR="000E019F">
        <w:t xml:space="preserve"> basic principles of the </w:t>
      </w:r>
      <w:r>
        <w:t>Anti-Hop</w:t>
      </w:r>
      <w:r w:rsidR="00B5464B">
        <w:t>s</w:t>
      </w:r>
      <w:r>
        <w:t xml:space="preserve">cotch Loan provisions under </w:t>
      </w:r>
      <w:r w:rsidR="000F192E">
        <w:t>Section</w:t>
      </w:r>
      <w:r>
        <w:t xml:space="preserve"> 956</w:t>
      </w:r>
      <w:r w:rsidR="00B01ED0">
        <w:t>:</w:t>
      </w:r>
      <w:r w:rsidR="000E019F">
        <w:t xml:space="preserve">  </w:t>
      </w:r>
      <w:r w:rsidR="009D2DC1" w:rsidRPr="009D2DC1">
        <w:t xml:space="preserve"> </w:t>
      </w:r>
    </w:p>
    <w:p w:rsidR="009D2DC1" w:rsidRDefault="009D2DC1" w:rsidP="00B27A5C"/>
    <w:p w:rsidR="009D2DC1" w:rsidRPr="009D2DC1" w:rsidRDefault="009D2DC1" w:rsidP="000E019F">
      <w:pPr>
        <w:ind w:left="720"/>
      </w:pPr>
      <w:r w:rsidRPr="009D2DC1">
        <w:t>A. United States property rule</w:t>
      </w:r>
    </w:p>
    <w:p w:rsidR="009D2DC1" w:rsidRPr="009D2DC1" w:rsidRDefault="009D2DC1" w:rsidP="000E019F">
      <w:pPr>
        <w:ind w:left="720"/>
      </w:pPr>
      <w:r w:rsidRPr="009D2DC1">
        <w:t>1. Overview</w:t>
      </w:r>
    </w:p>
    <w:p w:rsidR="009D2DC1" w:rsidRDefault="009D2DC1" w:rsidP="000E019F">
      <w:pPr>
        <w:ind w:left="720"/>
      </w:pPr>
      <w:r w:rsidRPr="009D2DC1">
        <w:t xml:space="preserve">As described in </w:t>
      </w:r>
      <w:r w:rsidR="000F192E">
        <w:t>Section</w:t>
      </w:r>
      <w:r w:rsidRPr="009D2DC1">
        <w:t xml:space="preserve"> 3.01(a) of the 2014 notice, an inversion transaction may</w:t>
      </w:r>
      <w:r w:rsidR="00AD78F3">
        <w:t xml:space="preserve"> </w:t>
      </w:r>
      <w:r w:rsidRPr="009D2DC1">
        <w:t>permit the new foreign parent of the inverted group, a group still principally comprised of</w:t>
      </w:r>
      <w:r w:rsidR="00AD78F3">
        <w:t xml:space="preserve"> </w:t>
      </w:r>
      <w:r w:rsidRPr="009D2DC1">
        <w:t xml:space="preserve">United States shareholders and their CFCs, to avoid </w:t>
      </w:r>
      <w:r w:rsidR="000F192E">
        <w:t>Section</w:t>
      </w:r>
      <w:r w:rsidRPr="009D2DC1">
        <w:t xml:space="preserve"> 956 by accessing the</w:t>
      </w:r>
      <w:r w:rsidR="00AD78F3">
        <w:t xml:space="preserve"> </w:t>
      </w:r>
      <w:r w:rsidRPr="009D2DC1">
        <w:t>untaxed earnings and profits of the CFCs without a current U.S. federal income tax to</w:t>
      </w:r>
      <w:r w:rsidR="001E0247">
        <w:t xml:space="preserve"> </w:t>
      </w:r>
      <w:r w:rsidRPr="009D2DC1">
        <w:t>the United States shareholders. This is a result that the United States shareholders</w:t>
      </w:r>
      <w:r w:rsidR="001E0247">
        <w:t xml:space="preserve"> </w:t>
      </w:r>
      <w:r w:rsidRPr="009D2DC1">
        <w:t>could not achieve before the inversion transaction. The ability of the new foreign parent</w:t>
      </w:r>
      <w:r w:rsidR="001E0247">
        <w:t xml:space="preserve"> </w:t>
      </w:r>
      <w:r w:rsidRPr="009D2DC1">
        <w:t>to access deferred CFC earnings and profits would in many cases eliminate the need</w:t>
      </w:r>
      <w:r w:rsidR="001E0247">
        <w:t xml:space="preserve"> </w:t>
      </w:r>
      <w:r w:rsidRPr="009D2DC1">
        <w:t>for the CFCs to pay dividends to the United States shareholders, thereby circumventing</w:t>
      </w:r>
      <w:r w:rsidR="001E0247">
        <w:t xml:space="preserve"> </w:t>
      </w:r>
      <w:r w:rsidRPr="009D2DC1">
        <w:t xml:space="preserve">the purposes of </w:t>
      </w:r>
      <w:r w:rsidR="000F192E">
        <w:t>Section</w:t>
      </w:r>
      <w:r w:rsidRPr="009D2DC1">
        <w:t xml:space="preserve"> 956.</w:t>
      </w:r>
    </w:p>
    <w:p w:rsidR="001E0247" w:rsidRPr="009D2DC1" w:rsidRDefault="001E0247" w:rsidP="000E019F">
      <w:pPr>
        <w:ind w:left="720"/>
      </w:pPr>
    </w:p>
    <w:p w:rsidR="00420847" w:rsidRDefault="009D2DC1" w:rsidP="000E019F">
      <w:pPr>
        <w:ind w:left="720"/>
      </w:pPr>
      <w:r w:rsidRPr="009D2DC1">
        <w:t xml:space="preserve">In order to prevent this avoidance of </w:t>
      </w:r>
      <w:r w:rsidR="000F192E">
        <w:t>Section</w:t>
      </w:r>
      <w:r w:rsidRPr="009D2DC1">
        <w:t xml:space="preserve"> 956, </w:t>
      </w:r>
      <w:r w:rsidR="000F192E">
        <w:t>Section</w:t>
      </w:r>
      <w:r w:rsidRPr="009D2DC1">
        <w:t xml:space="preserve"> 3.01(b) of the 2014</w:t>
      </w:r>
      <w:r w:rsidR="001E0247">
        <w:t xml:space="preserve"> </w:t>
      </w:r>
      <w:r w:rsidRPr="009D2DC1">
        <w:t>notice announces that future regulations will include a rule (the United States property</w:t>
      </w:r>
      <w:r w:rsidR="001E0247">
        <w:t xml:space="preserve"> </w:t>
      </w:r>
      <w:r w:rsidRPr="009D2DC1">
        <w:t xml:space="preserve">rule) providing that, solely for purposes of </w:t>
      </w:r>
      <w:r w:rsidR="000F192E">
        <w:t>Section</w:t>
      </w:r>
      <w:r w:rsidRPr="009D2DC1">
        <w:t xml:space="preserve"> 956, any obligation or stock of a non-CFC foreign related person (generally, either the foreign acquiring corporation or a</w:t>
      </w:r>
      <w:r w:rsidR="00242AC5">
        <w:t xml:space="preserve"> </w:t>
      </w:r>
      <w:r w:rsidRPr="009D2DC1">
        <w:t>foreign affiliate of the foreign acquiring corporation that is not an expatriated foreign</w:t>
      </w:r>
      <w:r w:rsidR="00242AC5">
        <w:t xml:space="preserve"> </w:t>
      </w:r>
      <w:r w:rsidRPr="009D2DC1">
        <w:t xml:space="preserve">subsidiary) is United States property within the meaning of </w:t>
      </w:r>
      <w:r w:rsidR="000F192E">
        <w:t>Section</w:t>
      </w:r>
      <w:r w:rsidRPr="009D2DC1">
        <w:t xml:space="preserve"> 956(c)(1) to the</w:t>
      </w:r>
      <w:r w:rsidR="00242AC5">
        <w:t xml:space="preserve"> </w:t>
      </w:r>
      <w:r w:rsidRPr="009D2DC1">
        <w:t>extent such obligation or stock is acquired by an expatriated foreign subsidiary</w:t>
      </w:r>
      <w:r w:rsidR="00894BCB">
        <w:t xml:space="preserve"> </w:t>
      </w:r>
      <w:r w:rsidR="00894BCB" w:rsidRPr="00BD1A10">
        <w:rPr>
          <w:b/>
        </w:rPr>
        <w:t>[</w:t>
      </w:r>
      <w:r w:rsidR="00012FF9" w:rsidRPr="00BD1A10">
        <w:rPr>
          <w:b/>
          <w:i/>
        </w:rPr>
        <w:t>i.e</w:t>
      </w:r>
      <w:r w:rsidR="00012FF9" w:rsidRPr="00BD1A10">
        <w:rPr>
          <w:b/>
        </w:rPr>
        <w:t xml:space="preserve">., </w:t>
      </w:r>
      <w:r w:rsidR="00904D79" w:rsidRPr="00BD1A10">
        <w:rPr>
          <w:b/>
        </w:rPr>
        <w:t>a CFC</w:t>
      </w:r>
      <w:r w:rsidR="00012FF9" w:rsidRPr="00BD1A10">
        <w:rPr>
          <w:b/>
        </w:rPr>
        <w:t xml:space="preserve"> whose </w:t>
      </w:r>
      <w:r w:rsidR="00904D79" w:rsidRPr="00BD1A10">
        <w:rPr>
          <w:b/>
        </w:rPr>
        <w:t>U.S. parent has been acquired in an inversion</w:t>
      </w:r>
      <w:r w:rsidR="00894BCB" w:rsidRPr="00BD1A10">
        <w:rPr>
          <w:b/>
        </w:rPr>
        <w:t>]</w:t>
      </w:r>
      <w:r w:rsidRPr="00BD1A10">
        <w:rPr>
          <w:b/>
        </w:rPr>
        <w:t xml:space="preserve"> during</w:t>
      </w:r>
      <w:r w:rsidR="00242AC5" w:rsidRPr="00BD1A10">
        <w:rPr>
          <w:b/>
        </w:rPr>
        <w:t xml:space="preserve"> </w:t>
      </w:r>
      <w:r w:rsidRPr="00BD1A10">
        <w:rPr>
          <w:b/>
        </w:rPr>
        <w:t>the applicable period</w:t>
      </w:r>
      <w:r w:rsidR="00AB2A04" w:rsidRPr="00BD1A10">
        <w:rPr>
          <w:b/>
        </w:rPr>
        <w:t xml:space="preserve"> [the 10 year period after the inversion]</w:t>
      </w:r>
      <w:r w:rsidRPr="00BD1A10">
        <w:rPr>
          <w:b/>
        </w:rPr>
        <w:t>.</w:t>
      </w:r>
      <w:r w:rsidRPr="009D2DC1">
        <w:t xml:space="preserve"> </w:t>
      </w:r>
      <w:r w:rsidR="00B761AE">
        <w:t xml:space="preserve">. . . </w:t>
      </w:r>
    </w:p>
    <w:p w:rsidR="00B761AE" w:rsidRPr="009D2DC1" w:rsidRDefault="00B761AE" w:rsidP="000E019F">
      <w:pPr>
        <w:ind w:left="720"/>
      </w:pPr>
    </w:p>
    <w:p w:rsidR="009D2DC1" w:rsidRPr="009D2DC1" w:rsidRDefault="009D2DC1" w:rsidP="000E019F">
      <w:pPr>
        <w:ind w:left="720"/>
      </w:pPr>
      <w:r w:rsidRPr="009D2DC1">
        <w:t>2. Regulations Implementing the United States Property Rule</w:t>
      </w:r>
    </w:p>
    <w:p w:rsidR="009D2DC1" w:rsidRPr="009D2DC1" w:rsidRDefault="009D2DC1" w:rsidP="000E019F">
      <w:pPr>
        <w:ind w:left="720"/>
      </w:pPr>
      <w:r w:rsidRPr="009D2DC1">
        <w:t>These temporary regulations include the rules described in the 2014 notice, with</w:t>
      </w:r>
      <w:r w:rsidR="0043645F">
        <w:t xml:space="preserve"> </w:t>
      </w:r>
      <w:r w:rsidRPr="009D2DC1">
        <w:t>certain modifications, in part, to address comments received.</w:t>
      </w:r>
      <w:r w:rsidR="000E019F">
        <w:rPr>
          <w:rStyle w:val="FootnoteReference"/>
        </w:rPr>
        <w:footnoteReference w:id="17"/>
      </w:r>
    </w:p>
    <w:p w:rsidR="00420847" w:rsidRDefault="00420847" w:rsidP="009D2DC1"/>
    <w:p w:rsidR="004322A3" w:rsidRDefault="00852F31" w:rsidP="00852F31">
      <w:r>
        <w:t>There are several exceptions to the rule that are not addressed here</w:t>
      </w:r>
      <w:r w:rsidR="00170C97">
        <w:t xml:space="preserve">.  The basic principles are </w:t>
      </w:r>
      <w:r w:rsidR="00170C97" w:rsidRPr="0040738B">
        <w:t>illustrated in Example (1) of</w:t>
      </w:r>
      <w:r w:rsidR="0040738B" w:rsidRPr="0040738B">
        <w:t xml:space="preserve"> §</w:t>
      </w:r>
      <w:r w:rsidR="0040738B">
        <w:t xml:space="preserve"> </w:t>
      </w:r>
      <w:r w:rsidR="0040738B" w:rsidRPr="0040738B">
        <w:t>1.956-</w:t>
      </w:r>
      <w:proofErr w:type="gramStart"/>
      <w:r w:rsidR="0040738B" w:rsidRPr="0040738B">
        <w:t>2T(</w:t>
      </w:r>
      <w:proofErr w:type="gramEnd"/>
      <w:r w:rsidR="0040738B" w:rsidRPr="0040738B">
        <w:t>a)(4)</w:t>
      </w:r>
      <w:r w:rsidR="0040738B">
        <w:t>(iv)</w:t>
      </w:r>
      <w:r w:rsidR="00EB4FD2">
        <w:t xml:space="preserve">. For purposes of the example the following </w:t>
      </w:r>
      <w:r w:rsidR="00907907">
        <w:t xml:space="preserve">is a description of the parties: </w:t>
      </w:r>
      <w:r w:rsidR="00B01ED0">
        <w:t xml:space="preserve"> </w:t>
      </w:r>
    </w:p>
    <w:p w:rsidR="003267BD" w:rsidRDefault="003267BD" w:rsidP="00852F31"/>
    <w:p w:rsidR="003267BD" w:rsidRPr="00EA03BD" w:rsidRDefault="003267BD" w:rsidP="00EA03BD">
      <w:pPr>
        <w:ind w:left="720"/>
        <w:rPr>
          <w:b/>
        </w:rPr>
      </w:pPr>
      <w:r w:rsidRPr="003267BD">
        <w:t>FA, a foreign corporation, wholly owns DT, a</w:t>
      </w:r>
      <w:r w:rsidR="00EB4FD2">
        <w:t xml:space="preserve"> </w:t>
      </w:r>
      <w:r w:rsidRPr="003267BD">
        <w:t>domestic corporation, which, in turn, wholly owns FT, a foreign corporation that is a</w:t>
      </w:r>
      <w:r w:rsidR="00EB4FD2">
        <w:t xml:space="preserve"> </w:t>
      </w:r>
      <w:r w:rsidRPr="003267BD">
        <w:t>controlled foreign corporation. FA also wholly owns FS, a foreign corporation. FA</w:t>
      </w:r>
      <w:r w:rsidR="00EA03BD">
        <w:t xml:space="preserve"> </w:t>
      </w:r>
      <w:r w:rsidRPr="003267BD">
        <w:t>acquired DT in an inversion transaction that was completed on January 1, 2015.</w:t>
      </w:r>
      <w:r w:rsidR="00EA03BD">
        <w:t xml:space="preserve">  </w:t>
      </w:r>
      <w:r w:rsidR="00EA03BD" w:rsidRPr="00EA03BD">
        <w:rPr>
          <w:b/>
        </w:rPr>
        <w:t>[Note that there was an inversion</w:t>
      </w:r>
      <w:r w:rsidR="00C314F6">
        <w:rPr>
          <w:b/>
        </w:rPr>
        <w:t>.</w:t>
      </w:r>
      <w:r w:rsidR="00EA03BD" w:rsidRPr="00EA03BD">
        <w:rPr>
          <w:b/>
        </w:rPr>
        <w:t>]</w:t>
      </w:r>
    </w:p>
    <w:p w:rsidR="004322A3" w:rsidRDefault="004322A3" w:rsidP="00852F31"/>
    <w:p w:rsidR="00AA59D8" w:rsidRDefault="00AA59D8" w:rsidP="00852F31">
      <w:r>
        <w:t xml:space="preserve">The example is as follows: </w:t>
      </w:r>
    </w:p>
    <w:p w:rsidR="00AA59D8" w:rsidRDefault="00AA59D8" w:rsidP="00852F31"/>
    <w:p w:rsidR="004322A3" w:rsidRPr="004322A3" w:rsidRDefault="004322A3" w:rsidP="00AA59D8">
      <w:pPr>
        <w:ind w:left="720"/>
      </w:pPr>
      <w:proofErr w:type="gramStart"/>
      <w:r w:rsidRPr="004322A3">
        <w:rPr>
          <w:i/>
        </w:rPr>
        <w:t xml:space="preserve">Example </w:t>
      </w:r>
      <w:r w:rsidRPr="004322A3">
        <w:t>1.</w:t>
      </w:r>
      <w:proofErr w:type="gramEnd"/>
      <w:r w:rsidRPr="004322A3">
        <w:t xml:space="preserve"> (A) Facts. FT</w:t>
      </w:r>
      <w:r>
        <w:t xml:space="preserve"> [a CFC]</w:t>
      </w:r>
      <w:r w:rsidRPr="004322A3">
        <w:t xml:space="preserve"> acquired an obligation of FS</w:t>
      </w:r>
      <w:r w:rsidR="00F56711">
        <w:t xml:space="preserve"> [a wholly owned sub of FA, </w:t>
      </w:r>
      <w:proofErr w:type="gramStart"/>
      <w:r w:rsidR="00F56711">
        <w:t>a  foreign</w:t>
      </w:r>
      <w:proofErr w:type="gramEnd"/>
      <w:r w:rsidR="00F56711">
        <w:t xml:space="preserve"> corporation]</w:t>
      </w:r>
      <w:r w:rsidRPr="004322A3">
        <w:t xml:space="preserve"> on January 31, 2015.</w:t>
      </w:r>
    </w:p>
    <w:p w:rsidR="00BD397F" w:rsidRDefault="004322A3" w:rsidP="00523DFF">
      <w:pPr>
        <w:ind w:left="720"/>
      </w:pPr>
      <w:r w:rsidRPr="004322A3">
        <w:t>(B) Analysis. Pursuant to §1.7874-12T, DT is a domestic entity, FT is an</w:t>
      </w:r>
      <w:r w:rsidR="00AA59D8">
        <w:t xml:space="preserve"> </w:t>
      </w:r>
      <w:r w:rsidRPr="004322A3">
        <w:t>expatriated foreign subsidiary, and FS is a non-CFC foreign related person. In addition</w:t>
      </w:r>
      <w:r w:rsidR="00AA59D8">
        <w:t xml:space="preserve"> </w:t>
      </w:r>
      <w:r w:rsidRPr="004322A3">
        <w:t>FT acquired the FS obligation during the applicable period. Thus, as of January 31,</w:t>
      </w:r>
      <w:r w:rsidR="00523DFF">
        <w:t xml:space="preserve"> </w:t>
      </w:r>
      <w:r w:rsidRPr="004322A3">
        <w:t xml:space="preserve">2015, the </w:t>
      </w:r>
      <w:r w:rsidRPr="004322A3">
        <w:lastRenderedPageBreak/>
        <w:t>obligation of FS is United States property with respect to FT for purposes of</w:t>
      </w:r>
      <w:r w:rsidR="00523DFF">
        <w:t xml:space="preserve"> </w:t>
      </w:r>
      <w:r w:rsidR="000F192E">
        <w:t>Section</w:t>
      </w:r>
      <w:r w:rsidRPr="004322A3">
        <w:t xml:space="preserve"> 956(a) and §1.956-2(a).</w:t>
      </w:r>
      <w:r w:rsidR="0040738B" w:rsidRPr="0040738B">
        <w:t xml:space="preserve"> </w:t>
      </w:r>
      <w:r w:rsidR="00170C97" w:rsidRPr="0040738B">
        <w:t xml:space="preserve"> </w:t>
      </w:r>
    </w:p>
    <w:p w:rsidR="00BD397F" w:rsidRDefault="00BD397F" w:rsidP="00523DFF">
      <w:pPr>
        <w:ind w:left="720"/>
      </w:pPr>
    </w:p>
    <w:p w:rsidR="00FD0F17" w:rsidRDefault="00FD0F17" w:rsidP="00FD0F17">
      <w:r w:rsidRPr="00FD0F17">
        <w:t>The basic Anti-Hopscotch Loan rules are illustrated in SLIDE #12 ANTI-HOPSCOTCH LOAN RULE, REG § 1.956-</w:t>
      </w:r>
      <w:proofErr w:type="gramStart"/>
      <w:r w:rsidRPr="00FD0F17">
        <w:t>2T(</w:t>
      </w:r>
      <w:proofErr w:type="gramEnd"/>
      <w:r w:rsidRPr="00FD0F17">
        <w:t>a)(4)</w:t>
      </w:r>
      <w:r>
        <w:t>.</w:t>
      </w:r>
    </w:p>
    <w:p w:rsidR="00FD0F17" w:rsidRPr="00FD0F17" w:rsidRDefault="00FD0F17" w:rsidP="00FD0F17"/>
    <w:p w:rsidR="00852F31" w:rsidRPr="0040738B" w:rsidRDefault="00BD397F" w:rsidP="00BD397F">
      <w:r>
        <w:t xml:space="preserve">It should be noted that this rule only applies where there is an inversion within the meaning of </w:t>
      </w:r>
      <w:r w:rsidR="000F192E">
        <w:t>Section</w:t>
      </w:r>
      <w:r>
        <w:t xml:space="preserve"> 7874.  Thus, in an acquisition by a foreign corporation of a U.S. target in a non-inversion transaction there is no prohibition against the making of Hop</w:t>
      </w:r>
      <w:r w:rsidR="00862C48">
        <w:t>s</w:t>
      </w:r>
      <w:r>
        <w:t xml:space="preserve">cotch Loans.  </w:t>
      </w:r>
      <w:r w:rsidR="00852F31" w:rsidRPr="0040738B">
        <w:t xml:space="preserve">  </w:t>
      </w:r>
    </w:p>
    <w:p w:rsidR="008828CD" w:rsidRDefault="00720597" w:rsidP="00B34C4A">
      <w:pPr>
        <w:pStyle w:val="Heading2"/>
      </w:pPr>
      <w:bookmarkStart w:id="78" w:name="_Toc449441996"/>
      <w:r w:rsidRPr="006D3B49">
        <w:t xml:space="preserve">THE </w:t>
      </w:r>
      <w:r w:rsidR="000F192E">
        <w:t>SECTION</w:t>
      </w:r>
      <w:r>
        <w:t xml:space="preserve"> 7701(</w:t>
      </w:r>
      <w:r w:rsidR="00561F0B">
        <w:t>l</w:t>
      </w:r>
      <w:r>
        <w:t xml:space="preserve">) RECHARACTERIZATION RULE, </w:t>
      </w:r>
      <w:r w:rsidR="000F192E">
        <w:t>SECTION</w:t>
      </w:r>
      <w:r w:rsidRPr="006D3B49">
        <w:t xml:space="preserve"> §1.</w:t>
      </w:r>
      <w:r>
        <w:t>7701(l)-4T</w:t>
      </w:r>
      <w:bookmarkEnd w:id="78"/>
      <w:r w:rsidRPr="006D3B49">
        <w:t xml:space="preserve"> </w:t>
      </w:r>
    </w:p>
    <w:p w:rsidR="004B68FB" w:rsidRDefault="004B68FB" w:rsidP="004B68FB">
      <w:r>
        <w:t>The following is a short excerpt from the discussion of the</w:t>
      </w:r>
      <w:r w:rsidRPr="004B68FB">
        <w:t xml:space="preserve"> </w:t>
      </w:r>
      <w:proofErr w:type="spellStart"/>
      <w:r>
        <w:t>recharacterization</w:t>
      </w:r>
      <w:proofErr w:type="spellEnd"/>
      <w:r>
        <w:t xml:space="preserve"> rule under </w:t>
      </w:r>
      <w:r w:rsidR="000F192E">
        <w:t>Section</w:t>
      </w:r>
      <w:r>
        <w:t xml:space="preserve"> 7701(l)</w:t>
      </w:r>
      <w:r w:rsidR="00FD3CED">
        <w:t xml:space="preserve"> </w:t>
      </w:r>
      <w:r w:rsidR="003C1BB2">
        <w:t xml:space="preserve">that </w:t>
      </w:r>
      <w:r w:rsidR="00FD3CED">
        <w:t xml:space="preserve">is set out in the preamble to the 2016 General Inversion </w:t>
      </w:r>
      <w:proofErr w:type="spellStart"/>
      <w:r w:rsidR="00FD3CED">
        <w:t>Regs</w:t>
      </w:r>
      <w:proofErr w:type="spellEnd"/>
      <w:r>
        <w:t>:</w:t>
      </w:r>
    </w:p>
    <w:p w:rsidR="004B68FB" w:rsidRDefault="004B68FB" w:rsidP="004B68FB"/>
    <w:p w:rsidR="00594862" w:rsidRPr="00594862" w:rsidRDefault="00594862" w:rsidP="00693419">
      <w:pPr>
        <w:ind w:left="720"/>
      </w:pPr>
      <w:r w:rsidRPr="00594862">
        <w:t xml:space="preserve">1. </w:t>
      </w:r>
      <w:r w:rsidR="000F192E">
        <w:t>Section</w:t>
      </w:r>
      <w:r w:rsidRPr="00594862">
        <w:t xml:space="preserve"> 7701(l) </w:t>
      </w:r>
      <w:proofErr w:type="spellStart"/>
      <w:r w:rsidRPr="00594862">
        <w:t>Recharacterization</w:t>
      </w:r>
      <w:proofErr w:type="spellEnd"/>
      <w:r w:rsidRPr="00594862">
        <w:t xml:space="preserve"> Rule</w:t>
      </w:r>
    </w:p>
    <w:p w:rsidR="00594862" w:rsidRPr="00594862" w:rsidRDefault="00594862" w:rsidP="00693419">
      <w:pPr>
        <w:ind w:left="720"/>
      </w:pPr>
      <w:r w:rsidRPr="00594862">
        <w:t>a. Overview</w:t>
      </w:r>
    </w:p>
    <w:p w:rsidR="00A95B7B" w:rsidRDefault="00594862" w:rsidP="00693419">
      <w:pPr>
        <w:ind w:left="720"/>
      </w:pPr>
      <w:r w:rsidRPr="00594862">
        <w:t>As described in the 2014 notice, after an inversion transaction, the inverted group</w:t>
      </w:r>
      <w:r w:rsidR="00787190">
        <w:t xml:space="preserve"> </w:t>
      </w:r>
      <w:r w:rsidRPr="00594862">
        <w:t>may cause an expatriated foreign subsidiary to cease to be a CFC using certain</w:t>
      </w:r>
      <w:r w:rsidR="00787190">
        <w:t xml:space="preserve"> </w:t>
      </w:r>
      <w:r w:rsidRPr="00594862">
        <w:t>transactions that do not give rise to U.S. federal income tax, so as to avoid U.S. federal</w:t>
      </w:r>
      <w:r w:rsidR="00787190">
        <w:t xml:space="preserve"> </w:t>
      </w:r>
      <w:r w:rsidRPr="00594862">
        <w:t>income tax on the CFC's pre-inversion transaction earnings and profits. Additionally,</w:t>
      </w:r>
      <w:r w:rsidR="00787190">
        <w:t xml:space="preserve"> </w:t>
      </w:r>
      <w:r w:rsidRPr="00594862">
        <w:t>even if the foreign acquiring corporation were to acquire less stock of an expatriated</w:t>
      </w:r>
      <w:r w:rsidR="00787190">
        <w:t xml:space="preserve"> </w:t>
      </w:r>
      <w:r w:rsidRPr="00594862">
        <w:t>foreign subsidiary, such that the expatriated foreign subsidiary remained a CFC, it could</w:t>
      </w:r>
      <w:r w:rsidR="00787190">
        <w:t xml:space="preserve"> </w:t>
      </w:r>
      <w:r w:rsidRPr="00594862">
        <w:t>nevertheless substantially dilute a United States shareholder's ownership of the CFC.</w:t>
      </w:r>
      <w:r w:rsidR="00787190">
        <w:t xml:space="preserve"> </w:t>
      </w:r>
      <w:r w:rsidRPr="00594862">
        <w:t>As a result, the United States shareholder could avoid U.S. federal income tax on the</w:t>
      </w:r>
      <w:r w:rsidR="00A95B7B">
        <w:t xml:space="preserve"> </w:t>
      </w:r>
      <w:r w:rsidRPr="00594862">
        <w:t xml:space="preserve">CFC's pre-inversion transaction earnings and </w:t>
      </w:r>
      <w:proofErr w:type="gramStart"/>
      <w:r w:rsidRPr="00594862">
        <w:t>profits</w:t>
      </w:r>
      <w:r w:rsidR="00A95B7B">
        <w:t>[</w:t>
      </w:r>
      <w:proofErr w:type="gramEnd"/>
      <w:r w:rsidR="00A95B7B">
        <w:t>.]</w:t>
      </w:r>
    </w:p>
    <w:p w:rsidR="00A95B7B" w:rsidRDefault="00A95B7B" w:rsidP="00693419">
      <w:pPr>
        <w:ind w:left="720"/>
      </w:pPr>
    </w:p>
    <w:p w:rsidR="001E5149" w:rsidRDefault="00594862" w:rsidP="00693419">
      <w:pPr>
        <w:ind w:left="720"/>
      </w:pPr>
      <w:r w:rsidRPr="00594862">
        <w:t>In order to prevent the use of these transactions to avoid U.S. federal income tax,</w:t>
      </w:r>
      <w:r w:rsidR="00A95B7B">
        <w:t xml:space="preserve"> </w:t>
      </w:r>
      <w:r w:rsidRPr="00594862">
        <w:t>the 2014 notice announces that the Treasury Department and the IRS intend to issue</w:t>
      </w:r>
      <w:r w:rsidR="000A37C8">
        <w:t xml:space="preserve"> </w:t>
      </w:r>
      <w:r w:rsidRPr="00594862">
        <w:t xml:space="preserve">regulations under </w:t>
      </w:r>
      <w:r w:rsidR="000F192E">
        <w:t>Section</w:t>
      </w:r>
      <w:r w:rsidRPr="00594862">
        <w:t xml:space="preserve"> 7701(l) that will </w:t>
      </w:r>
      <w:proofErr w:type="spellStart"/>
      <w:r w:rsidRPr="00594862">
        <w:t>recharacterize</w:t>
      </w:r>
      <w:proofErr w:type="spellEnd"/>
      <w:r w:rsidRPr="00594862">
        <w:t xml:space="preserve"> specified transactions</w:t>
      </w:r>
      <w:r w:rsidR="000A37C8">
        <w:t xml:space="preserve"> </w:t>
      </w:r>
      <w:r w:rsidRPr="00594862">
        <w:t xml:space="preserve">completed during the applicable period (the </w:t>
      </w:r>
      <w:r w:rsidR="000F192E">
        <w:t>Section</w:t>
      </w:r>
      <w:r w:rsidRPr="00594862">
        <w:t xml:space="preserve"> 7701(l) </w:t>
      </w:r>
      <w:proofErr w:type="spellStart"/>
      <w:r w:rsidRPr="00594862">
        <w:t>recharacterization</w:t>
      </w:r>
      <w:proofErr w:type="spellEnd"/>
      <w:r w:rsidRPr="00594862">
        <w:t xml:space="preserve"> rule). A</w:t>
      </w:r>
      <w:r w:rsidR="000A37C8">
        <w:t xml:space="preserve"> </w:t>
      </w:r>
      <w:r w:rsidRPr="00594862">
        <w:t xml:space="preserve">specified transaction is defined in </w:t>
      </w:r>
      <w:r w:rsidR="000F192E">
        <w:t>Section</w:t>
      </w:r>
      <w:r w:rsidRPr="00594862">
        <w:t xml:space="preserve"> 3.02(e)(</w:t>
      </w:r>
      <w:proofErr w:type="spellStart"/>
      <w:r w:rsidRPr="00594862">
        <w:t>i</w:t>
      </w:r>
      <w:proofErr w:type="spellEnd"/>
      <w:r w:rsidRPr="00594862">
        <w:t>) of the 2014 notice as a transaction</w:t>
      </w:r>
      <w:r w:rsidR="000A37C8">
        <w:t xml:space="preserve"> </w:t>
      </w:r>
      <w:r w:rsidRPr="00594862">
        <w:t>in which stock in an expatriated foreign subsidiary (specified stock) is transferred</w:t>
      </w:r>
      <w:r w:rsidR="000A37C8">
        <w:t xml:space="preserve"> </w:t>
      </w:r>
      <w:r w:rsidRPr="00594862">
        <w:t xml:space="preserve">(including by issuance) to a specified related person. A specified related person </w:t>
      </w:r>
      <w:r w:rsidR="001E5149">
        <w:t>[includes]</w:t>
      </w:r>
      <w:r w:rsidR="000A37C8">
        <w:t xml:space="preserve"> </w:t>
      </w:r>
      <w:r w:rsidRPr="00594862">
        <w:t xml:space="preserve">a non-CFC foreign related </w:t>
      </w:r>
      <w:proofErr w:type="gramStart"/>
      <w:r w:rsidRPr="00594862">
        <w:t>person</w:t>
      </w:r>
      <w:r w:rsidR="001E5149">
        <w:t>[</w:t>
      </w:r>
      <w:proofErr w:type="gramEnd"/>
      <w:r w:rsidR="001E5149">
        <w:t>.]</w:t>
      </w:r>
    </w:p>
    <w:p w:rsidR="001E5149" w:rsidRDefault="001E5149" w:rsidP="00693419">
      <w:pPr>
        <w:ind w:left="720"/>
      </w:pPr>
    </w:p>
    <w:p w:rsidR="00594862" w:rsidRDefault="000F192E" w:rsidP="00693419">
      <w:pPr>
        <w:ind w:left="720"/>
      </w:pPr>
      <w:r>
        <w:t>Section</w:t>
      </w:r>
      <w:r w:rsidR="00594862" w:rsidRPr="00594862">
        <w:t xml:space="preserve"> 3.02(e</w:t>
      </w:r>
      <w:proofErr w:type="gramStart"/>
      <w:r w:rsidR="00594862" w:rsidRPr="00594862">
        <w:t>)(</w:t>
      </w:r>
      <w:proofErr w:type="spellStart"/>
      <w:proofErr w:type="gramEnd"/>
      <w:r w:rsidR="00594862" w:rsidRPr="00594862">
        <w:t>i</w:t>
      </w:r>
      <w:proofErr w:type="spellEnd"/>
      <w:r w:rsidR="00594862" w:rsidRPr="00594862">
        <w:t>)(A) of the 2014 notice provides that a specified transaction is</w:t>
      </w:r>
      <w:r w:rsidR="001E5149">
        <w:t xml:space="preserve"> </w:t>
      </w:r>
      <w:proofErr w:type="spellStart"/>
      <w:r w:rsidR="00594862" w:rsidRPr="00594862">
        <w:t>recharacterized</w:t>
      </w:r>
      <w:proofErr w:type="spellEnd"/>
      <w:r w:rsidR="00594862" w:rsidRPr="00594862">
        <w:t xml:space="preserve"> for all purposes of the Code, as of the date on which the specified</w:t>
      </w:r>
      <w:r w:rsidR="001E5149">
        <w:t xml:space="preserve"> </w:t>
      </w:r>
      <w:r w:rsidR="00594862" w:rsidRPr="00594862">
        <w:t>transaction occurs, as an arrangement directly between the specified related person</w:t>
      </w:r>
      <w:r w:rsidR="001E5149">
        <w:t xml:space="preserve"> </w:t>
      </w:r>
      <w:r w:rsidR="00594862" w:rsidRPr="00594862">
        <w:t xml:space="preserve">and one or more </w:t>
      </w:r>
      <w:r>
        <w:t>Section</w:t>
      </w:r>
      <w:r w:rsidR="00594862" w:rsidRPr="00594862">
        <w:t xml:space="preserve"> 958(a) U.S. shareholders of the expatriated foreign subsidiary.</w:t>
      </w:r>
      <w:r w:rsidR="00766CDE">
        <w:t xml:space="preserve">  . . .</w:t>
      </w:r>
    </w:p>
    <w:p w:rsidR="00766CDE" w:rsidRDefault="00766CDE" w:rsidP="00693419">
      <w:pPr>
        <w:ind w:left="720"/>
      </w:pPr>
    </w:p>
    <w:p w:rsidR="00594862" w:rsidRPr="00594862" w:rsidRDefault="00594862" w:rsidP="00693419">
      <w:pPr>
        <w:ind w:left="720"/>
      </w:pPr>
      <w:r w:rsidRPr="00594862">
        <w:t xml:space="preserve">b. Regulations implementing the </w:t>
      </w:r>
      <w:r w:rsidR="000F192E">
        <w:t>Section</w:t>
      </w:r>
      <w:r w:rsidRPr="00594862">
        <w:t xml:space="preserve"> 7701(l) </w:t>
      </w:r>
      <w:proofErr w:type="spellStart"/>
      <w:r w:rsidRPr="00594862">
        <w:t>recharacterization</w:t>
      </w:r>
      <w:proofErr w:type="spellEnd"/>
      <w:r w:rsidRPr="00594862">
        <w:t xml:space="preserve"> rule</w:t>
      </w:r>
    </w:p>
    <w:p w:rsidR="00693419" w:rsidRDefault="00594862" w:rsidP="00693419">
      <w:pPr>
        <w:ind w:left="720"/>
      </w:pPr>
      <w:r w:rsidRPr="00594862">
        <w:t xml:space="preserve">These temporary regulations implement the </w:t>
      </w:r>
      <w:r w:rsidR="000F192E">
        <w:t>Section</w:t>
      </w:r>
      <w:r w:rsidRPr="00594862">
        <w:t xml:space="preserve"> 7701(l) </w:t>
      </w:r>
      <w:proofErr w:type="spellStart"/>
      <w:r w:rsidRPr="00594862">
        <w:t>recharacterization</w:t>
      </w:r>
      <w:proofErr w:type="spellEnd"/>
      <w:r w:rsidR="003C1BB2">
        <w:t xml:space="preserve"> </w:t>
      </w:r>
      <w:r w:rsidRPr="00594862">
        <w:t>rule described in the 2014 notice, subject to certain modifications</w:t>
      </w:r>
      <w:r w:rsidR="003C1BB2">
        <w:t>[.]</w:t>
      </w:r>
      <w:r w:rsidR="006D7127">
        <w:rPr>
          <w:rStyle w:val="FootnoteReference"/>
        </w:rPr>
        <w:footnoteReference w:id="18"/>
      </w:r>
      <w:r w:rsidR="003C1BB2">
        <w:t xml:space="preserve"> </w:t>
      </w:r>
    </w:p>
    <w:p w:rsidR="00693419" w:rsidRDefault="00693419" w:rsidP="00594862"/>
    <w:p w:rsidR="002E7574" w:rsidRDefault="0067275D">
      <w:r w:rsidRPr="0089731E">
        <w:lastRenderedPageBreak/>
        <w:t xml:space="preserve">These regulations are designed to prevent the post-inversion </w:t>
      </w:r>
      <w:r w:rsidR="00721017" w:rsidRPr="0089731E">
        <w:t>de-control of CFCs, and any such transaction will have to run the gauntlet set out in these very complicated regulations.</w:t>
      </w:r>
      <w:r w:rsidR="0089731E" w:rsidRPr="0089731E">
        <w:t xml:space="preserve">  The basic principles are illustrated in</w:t>
      </w:r>
      <w:r w:rsidR="0089731E">
        <w:t xml:space="preserve"> </w:t>
      </w:r>
      <w:r w:rsidR="0089731E" w:rsidRPr="0089731E">
        <w:t xml:space="preserve">SLIDE #13 ANTI-DECONTROL OF CFC RULE, REG § 1.7701-1(l) </w:t>
      </w:r>
    </w:p>
    <w:p w:rsidR="00C26690" w:rsidRDefault="00720597" w:rsidP="00B34C4A">
      <w:pPr>
        <w:pStyle w:val="Heading2"/>
      </w:pPr>
      <w:bookmarkStart w:id="79" w:name="_Toc449441997"/>
      <w:r w:rsidRPr="006D3B49">
        <w:t xml:space="preserve">THE </w:t>
      </w:r>
      <w:r w:rsidR="000F192E">
        <w:t>SECTION</w:t>
      </w:r>
      <w:r>
        <w:t xml:space="preserve"> 367(b) STOCK DILUTION RULE, </w:t>
      </w:r>
      <w:r w:rsidR="000F192E">
        <w:t>SECTION</w:t>
      </w:r>
      <w:r w:rsidRPr="006D3B49">
        <w:t xml:space="preserve"> §1.</w:t>
      </w:r>
      <w:r>
        <w:t>367(b)--</w:t>
      </w:r>
      <w:proofErr w:type="gramStart"/>
      <w:r>
        <w:t>4T(</w:t>
      </w:r>
      <w:proofErr w:type="gramEnd"/>
      <w:r>
        <w:t>e)</w:t>
      </w:r>
      <w:bookmarkEnd w:id="79"/>
    </w:p>
    <w:p w:rsidR="00460798" w:rsidRDefault="002C671E" w:rsidP="00C26690">
      <w:r>
        <w:t xml:space="preserve">The 2016 General Inversion </w:t>
      </w:r>
      <w:proofErr w:type="spellStart"/>
      <w:r>
        <w:t>Regs</w:t>
      </w:r>
      <w:proofErr w:type="spellEnd"/>
      <w:r>
        <w:t xml:space="preserve"> contain a </w:t>
      </w:r>
      <w:r w:rsidR="00E6443E">
        <w:t>“</w:t>
      </w:r>
      <w:r w:rsidR="000F192E">
        <w:t>Section</w:t>
      </w:r>
      <w:r>
        <w:t xml:space="preserve"> </w:t>
      </w:r>
      <w:r w:rsidR="00C26690" w:rsidRPr="00C26690">
        <w:t>367(b) Stock Dilution Rule</w:t>
      </w:r>
      <w:r>
        <w:t>.</w:t>
      </w:r>
      <w:r w:rsidR="00E6443E">
        <w:t>”</w:t>
      </w:r>
      <w:r>
        <w:t xml:space="preserve">  Under </w:t>
      </w:r>
      <w:r w:rsidR="000F192E">
        <w:t>Section</w:t>
      </w:r>
      <w:r>
        <w:t xml:space="preserve"> 367(b)</w:t>
      </w:r>
      <w:r w:rsidR="00E6443E">
        <w:t xml:space="preserve">, the Treasury is authorized to write regulations providing for recognition of gain in certain </w:t>
      </w:r>
      <w:r w:rsidR="00A067D2">
        <w:t>inbound and foreign-to-foreign reorganizations.  The</w:t>
      </w:r>
      <w:r w:rsidR="00460798">
        <w:t xml:space="preserve"> preamble to The 2016 General Inversion </w:t>
      </w:r>
      <w:proofErr w:type="spellStart"/>
      <w:r w:rsidR="00460798">
        <w:t>Regs</w:t>
      </w:r>
      <w:proofErr w:type="spellEnd"/>
      <w:r w:rsidR="00460798">
        <w:t xml:space="preserve"> set</w:t>
      </w:r>
      <w:r w:rsidR="007F21E3">
        <w:t>s</w:t>
      </w:r>
      <w:r w:rsidR="00460798">
        <w:t xml:space="preserve"> out the following description of the basic rules: </w:t>
      </w:r>
    </w:p>
    <w:p w:rsidR="00C26690" w:rsidRPr="00C26690" w:rsidRDefault="00A067D2" w:rsidP="00C26690">
      <w:r>
        <w:t xml:space="preserve"> </w:t>
      </w:r>
    </w:p>
    <w:p w:rsidR="00C26690" w:rsidRPr="00C26690" w:rsidRDefault="00C26690" w:rsidP="007F21E3">
      <w:pPr>
        <w:ind w:left="720"/>
      </w:pPr>
      <w:r w:rsidRPr="00C26690">
        <w:t>a. Overview</w:t>
      </w:r>
    </w:p>
    <w:p w:rsidR="00C26690" w:rsidRDefault="000F192E" w:rsidP="007F21E3">
      <w:pPr>
        <w:ind w:left="720"/>
      </w:pPr>
      <w:r>
        <w:t>Section</w:t>
      </w:r>
      <w:r w:rsidR="00C26690" w:rsidRPr="00C26690">
        <w:t xml:space="preserve"> 3.02(e</w:t>
      </w:r>
      <w:proofErr w:type="gramStart"/>
      <w:r w:rsidR="00C26690" w:rsidRPr="00C26690">
        <w:t>)(</w:t>
      </w:r>
      <w:proofErr w:type="gramEnd"/>
      <w:r w:rsidR="00C26690" w:rsidRPr="00C26690">
        <w:t xml:space="preserve">ii) of the 2014 notice provides a rule (the </w:t>
      </w:r>
      <w:r>
        <w:t>Section</w:t>
      </w:r>
      <w:r w:rsidR="00C26690" w:rsidRPr="00C26690">
        <w:t xml:space="preserve"> 367(b) stock</w:t>
      </w:r>
      <w:r w:rsidR="00C8154D">
        <w:t xml:space="preserve"> </w:t>
      </w:r>
      <w:r w:rsidR="00C26690" w:rsidRPr="00C26690">
        <w:t>dilution rule) that addresses certain post-inversion transaction exchanges that dilute the</w:t>
      </w:r>
      <w:r w:rsidR="00C8154D">
        <w:t xml:space="preserve"> </w:t>
      </w:r>
      <w:r w:rsidR="00C26690" w:rsidRPr="00C26690">
        <w:t>interest of a United States shareholder in a CFC and, absent the rule, could allow the</w:t>
      </w:r>
      <w:r w:rsidR="00C8154D">
        <w:t xml:space="preserve"> </w:t>
      </w:r>
      <w:r w:rsidR="00C26690" w:rsidRPr="00C26690">
        <w:t>United States shareholder to avoid U.S. federal income tax on earnings and profits of</w:t>
      </w:r>
      <w:r w:rsidR="00C8154D">
        <w:t xml:space="preserve"> </w:t>
      </w:r>
      <w:r w:rsidR="00C26690" w:rsidRPr="00C26690">
        <w:t xml:space="preserve">the CFC that exist at the time of the exchange. Specifically, the </w:t>
      </w:r>
      <w:r>
        <w:t>Section</w:t>
      </w:r>
      <w:r w:rsidR="00C26690" w:rsidRPr="00C26690">
        <w:t xml:space="preserve"> 367(b) stock</w:t>
      </w:r>
      <w:r w:rsidR="00C8154D">
        <w:t xml:space="preserve"> </w:t>
      </w:r>
      <w:r w:rsidR="00C26690" w:rsidRPr="00C26690">
        <w:t>dilution rule, as described in the 2014 notice, provides that when certain requirements</w:t>
      </w:r>
      <w:r w:rsidR="00C8154D">
        <w:t xml:space="preserve"> </w:t>
      </w:r>
      <w:r w:rsidR="00C26690" w:rsidRPr="00C26690">
        <w:t xml:space="preserve">are satisfied with respect to an exchange </w:t>
      </w:r>
      <w:r w:rsidR="00C8154D">
        <w:t xml:space="preserve">. . . </w:t>
      </w:r>
      <w:r w:rsidR="00C26690" w:rsidRPr="00C26690">
        <w:t>, the</w:t>
      </w:r>
      <w:r w:rsidR="00C8154D">
        <w:t xml:space="preserve"> </w:t>
      </w:r>
      <w:r w:rsidR="00C26690" w:rsidRPr="00C26690">
        <w:t>exchanging shareholder is generally required to include in income as a deemed</w:t>
      </w:r>
      <w:r w:rsidR="0035236F">
        <w:t xml:space="preserve"> </w:t>
      </w:r>
      <w:r w:rsidR="00C26690" w:rsidRPr="00C26690">
        <w:t xml:space="preserve">dividend the </w:t>
      </w:r>
      <w:r>
        <w:t>Section</w:t>
      </w:r>
      <w:r w:rsidR="00C26690" w:rsidRPr="00C26690">
        <w:t xml:space="preserve"> 1248 amount with respect to the stock exchanged.</w:t>
      </w:r>
      <w:r w:rsidR="008028CB">
        <w:t xml:space="preserve">  . . . </w:t>
      </w:r>
    </w:p>
    <w:p w:rsidR="0035236F" w:rsidRPr="00C26690" w:rsidRDefault="0035236F" w:rsidP="007F21E3">
      <w:pPr>
        <w:ind w:left="720"/>
      </w:pPr>
    </w:p>
    <w:p w:rsidR="00C26690" w:rsidRPr="00C26690" w:rsidRDefault="00C26690" w:rsidP="007F21E3">
      <w:pPr>
        <w:ind w:left="720"/>
      </w:pPr>
      <w:r w:rsidRPr="00C26690">
        <w:t xml:space="preserve">b. Application of the </w:t>
      </w:r>
      <w:r w:rsidR="000F192E">
        <w:t>Section</w:t>
      </w:r>
      <w:r w:rsidRPr="00C26690">
        <w:t xml:space="preserve"> 367(b) stock dilution rule to unrealized appreciation</w:t>
      </w:r>
    </w:p>
    <w:p w:rsidR="00C26690" w:rsidRDefault="00C26690" w:rsidP="007F21E3">
      <w:pPr>
        <w:ind w:left="720"/>
      </w:pPr>
      <w:r w:rsidRPr="00C26690">
        <w:t xml:space="preserve">The 2015 notice expands the consequences of being subject to the </w:t>
      </w:r>
      <w:r w:rsidR="000F192E">
        <w:t>Section</w:t>
      </w:r>
      <w:r w:rsidR="008028CB">
        <w:t xml:space="preserve"> </w:t>
      </w:r>
      <w:r w:rsidRPr="00C26690">
        <w:t>367(b) stock dilution rule. The 2015 notice provides that, when an exchanging</w:t>
      </w:r>
      <w:r w:rsidR="008028CB">
        <w:t xml:space="preserve"> </w:t>
      </w:r>
      <w:r w:rsidRPr="00C26690">
        <w:t xml:space="preserve">shareholder is required under the </w:t>
      </w:r>
      <w:r w:rsidR="000F192E">
        <w:t>Section</w:t>
      </w:r>
      <w:r w:rsidRPr="00C26690">
        <w:t xml:space="preserve"> 367(b) stock dilution rule to include in income</w:t>
      </w:r>
      <w:r w:rsidR="00311A87">
        <w:t xml:space="preserve"> </w:t>
      </w:r>
      <w:r w:rsidRPr="00C26690">
        <w:t xml:space="preserve">as a deemed dividend the </w:t>
      </w:r>
      <w:r w:rsidR="000F192E">
        <w:t>Section</w:t>
      </w:r>
      <w:r w:rsidRPr="00C26690">
        <w:t xml:space="preserve"> 1248 amount (if any) with respect to the stock</w:t>
      </w:r>
      <w:r w:rsidR="00311A87">
        <w:t xml:space="preserve"> </w:t>
      </w:r>
      <w:r w:rsidRPr="00C26690">
        <w:t>exchanged, the exchanging shareholder must also, after taking into account any</w:t>
      </w:r>
      <w:r w:rsidR="00311A87">
        <w:t xml:space="preserve"> </w:t>
      </w:r>
      <w:r w:rsidRPr="00C26690">
        <w:t>increase in basis provided in §1.367(b)-2(e</w:t>
      </w:r>
      <w:proofErr w:type="gramStart"/>
      <w:r w:rsidRPr="00C26690">
        <w:t>)(</w:t>
      </w:r>
      <w:proofErr w:type="gramEnd"/>
      <w:r w:rsidRPr="00C26690">
        <w:t>3)(ii) resulting from the deemed dividend,</w:t>
      </w:r>
      <w:r w:rsidR="00311A87">
        <w:t xml:space="preserve"> </w:t>
      </w:r>
      <w:r w:rsidRPr="00C26690">
        <w:t>recognize all realized gain with respect to the stock that is not otherwise recognized.</w:t>
      </w:r>
      <w:r w:rsidR="00311A87">
        <w:t xml:space="preserve"> </w:t>
      </w:r>
      <w:r w:rsidRPr="00C26690">
        <w:t>The 2015 notice explains that this result is necessary to prevent a United States</w:t>
      </w:r>
      <w:r w:rsidR="00311A87">
        <w:t xml:space="preserve"> </w:t>
      </w:r>
      <w:r w:rsidRPr="00C26690">
        <w:t>shareholder of a CFC from potentially avoiding U.S. federal income tax on net</w:t>
      </w:r>
      <w:r w:rsidR="00311A87">
        <w:t xml:space="preserve"> </w:t>
      </w:r>
      <w:r w:rsidRPr="00C26690">
        <w:t>unrealized built-in-gain in property held by the CFC at the time of the exchange of the</w:t>
      </w:r>
      <w:r w:rsidR="00A20976">
        <w:t xml:space="preserve"> </w:t>
      </w:r>
      <w:r w:rsidRPr="00C26690">
        <w:t xml:space="preserve">stock of the CFC. See </w:t>
      </w:r>
      <w:r w:rsidR="000F192E">
        <w:t>Section</w:t>
      </w:r>
      <w:r w:rsidRPr="00C26690">
        <w:t xml:space="preserve"> 3.02(b) of the 2015 notice.</w:t>
      </w:r>
    </w:p>
    <w:p w:rsidR="006F593F" w:rsidRPr="00C26690" w:rsidRDefault="006F593F" w:rsidP="007F21E3">
      <w:pPr>
        <w:ind w:left="720"/>
      </w:pPr>
    </w:p>
    <w:p w:rsidR="00DB7098" w:rsidRDefault="00C26690" w:rsidP="007F21E3">
      <w:pPr>
        <w:ind w:left="720"/>
      </w:pPr>
      <w:r w:rsidRPr="00C26690">
        <w:t>The 2015 notice also states that a conforming change will be made to the</w:t>
      </w:r>
      <w:r w:rsidR="006F593F">
        <w:t xml:space="preserve"> r</w:t>
      </w:r>
      <w:r w:rsidRPr="00C26690">
        <w:t xml:space="preserve">egulations described in </w:t>
      </w:r>
      <w:r w:rsidR="000F192E">
        <w:t>Section</w:t>
      </w:r>
      <w:r w:rsidRPr="00C26690">
        <w:t xml:space="preserve"> 3.02(e</w:t>
      </w:r>
      <w:proofErr w:type="gramStart"/>
      <w:r w:rsidRPr="00C26690">
        <w:t>)(</w:t>
      </w:r>
      <w:proofErr w:type="spellStart"/>
      <w:proofErr w:type="gramEnd"/>
      <w:r w:rsidRPr="00C26690">
        <w:t>i</w:t>
      </w:r>
      <w:proofErr w:type="spellEnd"/>
      <w:r w:rsidRPr="00C26690">
        <w:t xml:space="preserve">) of the 2014 notice. </w:t>
      </w:r>
      <w:r w:rsidR="006F593F">
        <w:t xml:space="preserve">. . . </w:t>
      </w:r>
    </w:p>
    <w:p w:rsidR="00C26690" w:rsidRPr="00C26690" w:rsidRDefault="00C26690" w:rsidP="007F21E3">
      <w:pPr>
        <w:ind w:left="720"/>
      </w:pPr>
      <w:r w:rsidRPr="00C26690">
        <w:t>.</w:t>
      </w:r>
    </w:p>
    <w:p w:rsidR="00DB7098" w:rsidRDefault="00C26690" w:rsidP="007F21E3">
      <w:pPr>
        <w:ind w:left="720"/>
      </w:pPr>
      <w:r w:rsidRPr="00C26690">
        <w:t xml:space="preserve">c. Regulations implementing the </w:t>
      </w:r>
      <w:r w:rsidR="000F192E">
        <w:t>Section</w:t>
      </w:r>
      <w:r w:rsidRPr="00C26690">
        <w:t xml:space="preserve"> 367(b) stock dilution rule</w:t>
      </w:r>
      <w:r w:rsidR="00DB7098">
        <w:t xml:space="preserve"> </w:t>
      </w:r>
      <w:proofErr w:type="gramStart"/>
      <w:r w:rsidRPr="00C26690">
        <w:t>The</w:t>
      </w:r>
      <w:proofErr w:type="gramEnd"/>
      <w:r w:rsidRPr="00C26690">
        <w:t xml:space="preserve"> temporary regulations implement the </w:t>
      </w:r>
      <w:r w:rsidR="000F192E">
        <w:t>Section</w:t>
      </w:r>
      <w:r w:rsidRPr="00C26690">
        <w:t xml:space="preserve"> 367(b) stock dilution rule as</w:t>
      </w:r>
      <w:r w:rsidR="00DB7098">
        <w:t xml:space="preserve"> </w:t>
      </w:r>
      <w:r w:rsidRPr="00C26690">
        <w:t>described in the 2014 notice and the 2015 notice, subject to certain modifications.</w:t>
      </w:r>
      <w:r w:rsidR="007B5AB2">
        <w:rPr>
          <w:rStyle w:val="FootnoteReference"/>
        </w:rPr>
        <w:footnoteReference w:id="19"/>
      </w:r>
      <w:r w:rsidRPr="00C26690">
        <w:t xml:space="preserve"> </w:t>
      </w:r>
    </w:p>
    <w:p w:rsidR="00514C2A" w:rsidRDefault="00514C2A" w:rsidP="007F21E3">
      <w:pPr>
        <w:ind w:left="720"/>
      </w:pPr>
    </w:p>
    <w:p w:rsidR="00514C2A" w:rsidRDefault="00514C2A" w:rsidP="00514C2A">
      <w:r>
        <w:t>Section 1.367(b)-</w:t>
      </w:r>
      <w:proofErr w:type="gramStart"/>
      <w:r>
        <w:t>4T(</w:t>
      </w:r>
      <w:proofErr w:type="gramEnd"/>
      <w:r>
        <w:t>b) sets out the following ge</w:t>
      </w:r>
      <w:r w:rsidR="007B4DD7">
        <w:t>ne</w:t>
      </w:r>
      <w:r>
        <w:t xml:space="preserve">ral “Income Inclusion” rule: </w:t>
      </w:r>
    </w:p>
    <w:p w:rsidR="00514C2A" w:rsidRDefault="00514C2A" w:rsidP="00514C2A"/>
    <w:p w:rsidR="00120DF4" w:rsidRPr="00120DF4" w:rsidRDefault="00120DF4" w:rsidP="00CE3A1E">
      <w:pPr>
        <w:ind w:left="720"/>
      </w:pPr>
      <w:r w:rsidRPr="00120DF4">
        <w:lastRenderedPageBreak/>
        <w:t xml:space="preserve">(e) </w:t>
      </w:r>
      <w:r w:rsidRPr="00E75828">
        <w:rPr>
          <w:i/>
        </w:rPr>
        <w:t>Income inclusion and gain recognition in certain exchanges following an inversion transaction</w:t>
      </w:r>
      <w:r w:rsidRPr="00120DF4">
        <w:t>--(1) General rule. If a foreign corporation (the transferee foreign</w:t>
      </w:r>
      <w:r>
        <w:t xml:space="preserve"> </w:t>
      </w:r>
      <w:r w:rsidRPr="00120DF4">
        <w:t>corporation) acquires stock of a foreign corporation in an exchange described in section</w:t>
      </w:r>
      <w:r>
        <w:t xml:space="preserve"> </w:t>
      </w:r>
      <w:r w:rsidRPr="00120DF4">
        <w:t>351 or stock or assets of a foreign corporation in a reorganization described in section</w:t>
      </w:r>
      <w:r>
        <w:t xml:space="preserve"> </w:t>
      </w:r>
      <w:r w:rsidRPr="00120DF4">
        <w:t>368(a</w:t>
      </w:r>
      <w:proofErr w:type="gramStart"/>
      <w:r w:rsidRPr="00120DF4">
        <w:t>)(</w:t>
      </w:r>
      <w:proofErr w:type="gramEnd"/>
      <w:r w:rsidRPr="00120DF4">
        <w:t>1) (in either case, the foreign acquired corporation), then an exchanging</w:t>
      </w:r>
      <w:r>
        <w:t xml:space="preserve"> </w:t>
      </w:r>
      <w:r w:rsidRPr="00120DF4">
        <w:t>shareholder</w:t>
      </w:r>
      <w:r w:rsidR="00BD18CC">
        <w:t xml:space="preserve"> [generally]</w:t>
      </w:r>
      <w:r w:rsidRPr="00120DF4">
        <w:t xml:space="preserve"> must, if its exchange is a specified exchange</w:t>
      </w:r>
      <w:r w:rsidR="00DA237F">
        <w:t xml:space="preserve"> </w:t>
      </w:r>
      <w:r w:rsidR="00DA237F" w:rsidRPr="002662F2">
        <w:rPr>
          <w:b/>
        </w:rPr>
        <w:t>[</w:t>
      </w:r>
      <w:r w:rsidR="002662F2" w:rsidRPr="002662F2">
        <w:rPr>
          <w:b/>
          <w:i/>
        </w:rPr>
        <w:t>i.e</w:t>
      </w:r>
      <w:r w:rsidR="002662F2" w:rsidRPr="002662F2">
        <w:rPr>
          <w:b/>
        </w:rPr>
        <w:t>., certain post inversion intercompany transfers</w:t>
      </w:r>
      <w:r w:rsidR="00DA237F" w:rsidRPr="002662F2">
        <w:rPr>
          <w:b/>
        </w:rPr>
        <w:t>]</w:t>
      </w:r>
      <w:r w:rsidRPr="00120DF4">
        <w:t xml:space="preserve"> </w:t>
      </w:r>
      <w:r w:rsidR="00BD18CC">
        <w:t xml:space="preserve">. . . </w:t>
      </w:r>
      <w:r w:rsidRPr="00120DF4">
        <w:t>--</w:t>
      </w:r>
    </w:p>
    <w:p w:rsidR="00BD18CC" w:rsidRDefault="00BD18CC" w:rsidP="00CE3A1E">
      <w:pPr>
        <w:ind w:left="720"/>
      </w:pPr>
    </w:p>
    <w:p w:rsidR="00120DF4" w:rsidRPr="00120DF4" w:rsidRDefault="00120DF4" w:rsidP="00CE3A1E">
      <w:pPr>
        <w:ind w:left="1440"/>
      </w:pPr>
      <w:r w:rsidRPr="00120DF4">
        <w:t>(</w:t>
      </w:r>
      <w:proofErr w:type="spellStart"/>
      <w:proofErr w:type="gramStart"/>
      <w:r w:rsidRPr="00120DF4">
        <w:t>i</w:t>
      </w:r>
      <w:proofErr w:type="spellEnd"/>
      <w:proofErr w:type="gramEnd"/>
      <w:r w:rsidRPr="00120DF4">
        <w:t>) Include in income as a deemed dividend the section 1248 amount attributable</w:t>
      </w:r>
      <w:r w:rsidR="00BD18CC">
        <w:t xml:space="preserve"> </w:t>
      </w:r>
      <w:r w:rsidRPr="00120DF4">
        <w:t>to the stock that it exchanges; and</w:t>
      </w:r>
    </w:p>
    <w:p w:rsidR="00120DF4" w:rsidRDefault="00BD18CC" w:rsidP="00CE3A1E">
      <w:pPr>
        <w:ind w:left="1440"/>
      </w:pPr>
      <w:r w:rsidRPr="00120DF4">
        <w:t xml:space="preserve"> </w:t>
      </w:r>
      <w:r w:rsidR="00120DF4" w:rsidRPr="00120DF4">
        <w:t>(ii) After taking into account the increase in basis provided in §1.367(b)-2(e</w:t>
      </w:r>
      <w:proofErr w:type="gramStart"/>
      <w:r w:rsidR="00120DF4" w:rsidRPr="00120DF4">
        <w:t>)(</w:t>
      </w:r>
      <w:proofErr w:type="gramEnd"/>
      <w:r w:rsidR="00120DF4" w:rsidRPr="00120DF4">
        <w:t>3)(ii)</w:t>
      </w:r>
      <w:r>
        <w:t xml:space="preserve"> </w:t>
      </w:r>
      <w:r w:rsidR="00120DF4" w:rsidRPr="00120DF4">
        <w:t>resulting from the deemed dividend (if any), recognize all realized gain with respect to</w:t>
      </w:r>
      <w:r>
        <w:t xml:space="preserve"> </w:t>
      </w:r>
      <w:r w:rsidR="00120DF4" w:rsidRPr="00120DF4">
        <w:t>the stock that would not otherwise be recognized.</w:t>
      </w:r>
    </w:p>
    <w:p w:rsidR="00F028E5" w:rsidRPr="00F028E5" w:rsidRDefault="00F028E5" w:rsidP="00F028E5">
      <w:r w:rsidRPr="00F028E5">
        <w:t>The basic principles in this regulation are illustrated in SLIDE # 14 CFC STOCK DILUTION RULE, REG. § 1.367(b)-</w:t>
      </w:r>
      <w:proofErr w:type="gramStart"/>
      <w:r w:rsidRPr="00F028E5">
        <w:t>4T(</w:t>
      </w:r>
      <w:proofErr w:type="gramEnd"/>
      <w:r w:rsidRPr="00F028E5">
        <w:t>e)</w:t>
      </w:r>
      <w:r>
        <w:t>.</w:t>
      </w:r>
    </w:p>
    <w:p w:rsidR="0079477F" w:rsidRDefault="00D81340" w:rsidP="00B34C4A">
      <w:pPr>
        <w:pStyle w:val="Heading2"/>
      </w:pPr>
      <w:bookmarkStart w:id="80" w:name="_Toc449441998"/>
      <w:r w:rsidRPr="006D3B49">
        <w:t xml:space="preserve">THE </w:t>
      </w:r>
      <w:r w:rsidR="000F192E">
        <w:t>SECTION</w:t>
      </w:r>
      <w:r>
        <w:t xml:space="preserve"> 367(b) ASSET DILUTION RULE, </w:t>
      </w:r>
      <w:r w:rsidR="000F192E">
        <w:t>SECTION</w:t>
      </w:r>
      <w:r w:rsidRPr="006D3B49">
        <w:t xml:space="preserve"> §1.</w:t>
      </w:r>
      <w:r>
        <w:t>367(b)--</w:t>
      </w:r>
      <w:proofErr w:type="gramStart"/>
      <w:r>
        <w:t>4T(</w:t>
      </w:r>
      <w:proofErr w:type="gramEnd"/>
      <w:r>
        <w:t>f)</w:t>
      </w:r>
      <w:bookmarkEnd w:id="80"/>
    </w:p>
    <w:p w:rsidR="001D4B35" w:rsidRDefault="001D4B35" w:rsidP="001D4B35">
      <w:r>
        <w:t xml:space="preserve">The 2016 General Inversion </w:t>
      </w:r>
      <w:proofErr w:type="spellStart"/>
      <w:r>
        <w:t>Regs</w:t>
      </w:r>
      <w:proofErr w:type="spellEnd"/>
      <w:r>
        <w:t xml:space="preserve"> also contain a “</w:t>
      </w:r>
      <w:r w:rsidR="000F192E">
        <w:t>Section</w:t>
      </w:r>
      <w:r>
        <w:t xml:space="preserve"> </w:t>
      </w:r>
      <w:r w:rsidRPr="00C26690">
        <w:t xml:space="preserve">367(b) </w:t>
      </w:r>
      <w:r>
        <w:t xml:space="preserve">Asset </w:t>
      </w:r>
      <w:r w:rsidRPr="00C26690">
        <w:t>Dilution Rule</w:t>
      </w:r>
      <w:r>
        <w:t xml:space="preserve">.”  As indicated above, under </w:t>
      </w:r>
      <w:r w:rsidR="000F192E">
        <w:t>Section</w:t>
      </w:r>
      <w:r>
        <w:t xml:space="preserve"> 367(b), the Treasury is authorized to write regulations providing for recognition of gain in certain inbound and foreign-to-foreign reorganizations.  The preamble to </w:t>
      </w:r>
      <w:r w:rsidR="006737E6">
        <w:t>t</w:t>
      </w:r>
      <w:r>
        <w:t xml:space="preserve">he 2016 General Inversion </w:t>
      </w:r>
      <w:proofErr w:type="spellStart"/>
      <w:r>
        <w:t>Regs</w:t>
      </w:r>
      <w:proofErr w:type="spellEnd"/>
      <w:r>
        <w:t xml:space="preserve"> sets out the following description of the basic rules: </w:t>
      </w:r>
    </w:p>
    <w:p w:rsidR="00E20938" w:rsidRDefault="00E20938"/>
    <w:p w:rsidR="00E20938" w:rsidRPr="00E20938" w:rsidRDefault="00E20938" w:rsidP="00156002">
      <w:pPr>
        <w:ind w:left="720"/>
      </w:pPr>
      <w:r w:rsidRPr="00E20938">
        <w:t xml:space="preserve">3. </w:t>
      </w:r>
      <w:r w:rsidR="000F192E">
        <w:t>Section</w:t>
      </w:r>
      <w:r w:rsidRPr="00E20938">
        <w:t xml:space="preserve"> 367(b) Asset Dilution Rule</w:t>
      </w:r>
    </w:p>
    <w:p w:rsidR="00E20938" w:rsidRPr="00E20938" w:rsidRDefault="00E20938" w:rsidP="00156002">
      <w:pPr>
        <w:ind w:left="720"/>
      </w:pPr>
      <w:r w:rsidRPr="00E20938">
        <w:t>a. Transactions at issue</w:t>
      </w:r>
    </w:p>
    <w:p w:rsidR="00E20938" w:rsidRDefault="00E20938" w:rsidP="00156002">
      <w:pPr>
        <w:ind w:left="720"/>
      </w:pPr>
      <w:r w:rsidRPr="00E20938">
        <w:t xml:space="preserve">For reasons similar to those discussed in </w:t>
      </w:r>
      <w:r w:rsidR="000F192E">
        <w:t>Section</w:t>
      </w:r>
      <w:r w:rsidRPr="00E20938">
        <w:t xml:space="preserve"> 3.02(d) of the 2014 notice and</w:t>
      </w:r>
      <w:r>
        <w:t xml:space="preserve"> </w:t>
      </w:r>
      <w:r w:rsidR="000F192E">
        <w:t>Section</w:t>
      </w:r>
      <w:r w:rsidRPr="00E20938">
        <w:t xml:space="preserve"> 3.02(b) of the 2015 notice, the Treasury Department and the IRS have</w:t>
      </w:r>
      <w:r>
        <w:t xml:space="preserve"> </w:t>
      </w:r>
      <w:r w:rsidRPr="00E20938">
        <w:t>determined that, upon a transfer by an expatriated foreign subsidiary</w:t>
      </w:r>
      <w:r>
        <w:t xml:space="preserve"> [i.e., a CFC after an inversion]</w:t>
      </w:r>
      <w:r w:rsidRPr="00E20938">
        <w:t xml:space="preserve"> of property </w:t>
      </w:r>
      <w:r w:rsidR="00395317">
        <w:t xml:space="preserve">. . . </w:t>
      </w:r>
      <w:r w:rsidRPr="00E20938">
        <w:t>to a transferee foreign corporation</w:t>
      </w:r>
      <w:r w:rsidR="00395317">
        <w:t xml:space="preserve"> </w:t>
      </w:r>
      <w:r w:rsidRPr="00E20938">
        <w:t xml:space="preserve">in certain </w:t>
      </w:r>
      <w:r w:rsidR="000F192E">
        <w:t>Section</w:t>
      </w:r>
      <w:r w:rsidRPr="00E20938">
        <w:t xml:space="preserve"> 351 exchanges, the expatriated foreign subsidiary should be required</w:t>
      </w:r>
      <w:r w:rsidR="00395317">
        <w:t xml:space="preserve"> </w:t>
      </w:r>
      <w:r w:rsidRPr="00E20938">
        <w:t>to recognize all realized gain in the property that is not otherwise recognized. Absent</w:t>
      </w:r>
      <w:r w:rsidR="00B83048">
        <w:t xml:space="preserve"> </w:t>
      </w:r>
      <w:r w:rsidRPr="00E20938">
        <w:t>such a rule, the transfer could dilute a United States shareholder’s indirect interest in</w:t>
      </w:r>
      <w:r w:rsidR="00B83048">
        <w:t xml:space="preserve"> </w:t>
      </w:r>
      <w:r w:rsidRPr="00E20938">
        <w:t>the property and, as a result, could allow the United States shareholder to avoid U.S.</w:t>
      </w:r>
      <w:r w:rsidR="00B83048">
        <w:t xml:space="preserve"> </w:t>
      </w:r>
      <w:r w:rsidRPr="00E20938">
        <w:t>federal income tax on realized gain that is not recognized at the time of the transfer.</w:t>
      </w:r>
      <w:r w:rsidR="00B83048">
        <w:t xml:space="preserve">  . . . </w:t>
      </w:r>
    </w:p>
    <w:p w:rsidR="00B83048" w:rsidRPr="00E20938" w:rsidRDefault="00B83048" w:rsidP="00156002">
      <w:pPr>
        <w:ind w:left="720"/>
      </w:pPr>
    </w:p>
    <w:p w:rsidR="00E20938" w:rsidRPr="00E20938" w:rsidRDefault="00E20938" w:rsidP="00156002">
      <w:pPr>
        <w:ind w:left="720"/>
      </w:pPr>
      <w:r w:rsidRPr="00E20938">
        <w:t xml:space="preserve">b. Regulations implementing the </w:t>
      </w:r>
      <w:r w:rsidR="000F192E">
        <w:t>Section</w:t>
      </w:r>
      <w:r w:rsidRPr="00E20938">
        <w:t xml:space="preserve"> 367(b) asset dilution rule</w:t>
      </w:r>
    </w:p>
    <w:p w:rsidR="00E20938" w:rsidRDefault="00E20938" w:rsidP="00156002">
      <w:pPr>
        <w:ind w:left="720"/>
      </w:pPr>
      <w:r w:rsidRPr="00E20938">
        <w:t xml:space="preserve">The temporary regulations provide a rule (the </w:t>
      </w:r>
      <w:r w:rsidR="000F192E">
        <w:t>Section</w:t>
      </w:r>
      <w:r w:rsidRPr="00E20938">
        <w:t xml:space="preserve"> 367(b) asset dilution rule)</w:t>
      </w:r>
      <w:r w:rsidR="00AD0D2F">
        <w:t xml:space="preserve"> </w:t>
      </w:r>
      <w:r w:rsidRPr="00E20938">
        <w:t xml:space="preserve">that applies when an expatriated foreign subsidiary </w:t>
      </w:r>
      <w:proofErr w:type="gramStart"/>
      <w:r w:rsidRPr="00E20938">
        <w:t>transfers</w:t>
      </w:r>
      <w:proofErr w:type="gramEnd"/>
      <w:r w:rsidRPr="00E20938">
        <w:t xml:space="preserve"> specified property to a</w:t>
      </w:r>
      <w:r w:rsidR="00AD0D2F">
        <w:t xml:space="preserve"> </w:t>
      </w:r>
      <w:r w:rsidRPr="00E20938">
        <w:t xml:space="preserve">foreign transferee corporation in an exchange described in </w:t>
      </w:r>
      <w:r w:rsidR="000F192E">
        <w:t>Section</w:t>
      </w:r>
      <w:r w:rsidRPr="00E20938">
        <w:t xml:space="preserve"> 351 that occurs</w:t>
      </w:r>
      <w:r w:rsidR="00AD0D2F">
        <w:t xml:space="preserve"> </w:t>
      </w:r>
      <w:r w:rsidRPr="00E20938">
        <w:t>within the applicable period. §1.367(b)-</w:t>
      </w:r>
      <w:proofErr w:type="gramStart"/>
      <w:r w:rsidRPr="00E20938">
        <w:t>4T(</w:t>
      </w:r>
      <w:proofErr w:type="gramEnd"/>
      <w:r w:rsidRPr="00E20938">
        <w:t xml:space="preserve">f)(1). When the </w:t>
      </w:r>
      <w:r w:rsidR="000F192E">
        <w:t>Section</w:t>
      </w:r>
      <w:r w:rsidRPr="00E20938">
        <w:t xml:space="preserve"> 367(b) asset dilution</w:t>
      </w:r>
      <w:r w:rsidR="00AD0D2F">
        <w:t xml:space="preserve"> </w:t>
      </w:r>
      <w:r w:rsidRPr="00E20938">
        <w:t>rule applies, the expatriated foreign subsidiary must recognize all realized gain (but not</w:t>
      </w:r>
      <w:r w:rsidR="00AD0D2F">
        <w:t xml:space="preserve"> </w:t>
      </w:r>
      <w:r w:rsidRPr="00E20938">
        <w:t>loss) with respect to the specified property that is not otherwise recognized, unless an</w:t>
      </w:r>
      <w:r w:rsidR="00AD0D2F">
        <w:t xml:space="preserve"> </w:t>
      </w:r>
      <w:r w:rsidRPr="00E20938">
        <w:t>exception applies. §1.367(b)-</w:t>
      </w:r>
      <w:proofErr w:type="gramStart"/>
      <w:r w:rsidRPr="00E20938">
        <w:t>4T(</w:t>
      </w:r>
      <w:proofErr w:type="gramEnd"/>
      <w:r w:rsidRPr="00E20938">
        <w:t>f)(1). For this purpose, specified property means any</w:t>
      </w:r>
      <w:r w:rsidR="008E1A12">
        <w:t xml:space="preserve"> </w:t>
      </w:r>
      <w:r w:rsidRPr="00E20938">
        <w:t>property other than stock of a lower-tier expatriated foreign subsidiary. §1.367(b)-</w:t>
      </w:r>
      <w:proofErr w:type="gramStart"/>
      <w:r w:rsidRPr="00E20938">
        <w:t>4T(</w:t>
      </w:r>
      <w:proofErr w:type="gramEnd"/>
      <w:r w:rsidRPr="00E20938">
        <w:t>g)(5).</w:t>
      </w:r>
      <w:r w:rsidR="008E1A12">
        <w:rPr>
          <w:rStyle w:val="FootnoteReference"/>
        </w:rPr>
        <w:footnoteReference w:id="20"/>
      </w:r>
    </w:p>
    <w:p w:rsidR="00407882" w:rsidRDefault="00D81340" w:rsidP="00B34C4A">
      <w:pPr>
        <w:pStyle w:val="Heading2"/>
      </w:pPr>
      <w:bookmarkStart w:id="81" w:name="_Toc449441999"/>
      <w:r w:rsidRPr="006D3B49">
        <w:lastRenderedPageBreak/>
        <w:t xml:space="preserve">THE </w:t>
      </w:r>
      <w:r w:rsidR="000F192E">
        <w:t>SECTION</w:t>
      </w:r>
      <w:r>
        <w:t xml:space="preserve"> 304 RULES, </w:t>
      </w:r>
      <w:r w:rsidR="000F192E">
        <w:t>SECTION</w:t>
      </w:r>
      <w:r w:rsidRPr="006D3B49">
        <w:t xml:space="preserve"> §1.</w:t>
      </w:r>
      <w:r>
        <w:t>304--7T</w:t>
      </w:r>
      <w:bookmarkEnd w:id="81"/>
    </w:p>
    <w:p w:rsidR="002D3633" w:rsidRDefault="002D3633" w:rsidP="002D3633">
      <w:r>
        <w:t xml:space="preserve">The 2016 General Inversion </w:t>
      </w:r>
      <w:proofErr w:type="spellStart"/>
      <w:r>
        <w:t>Regs</w:t>
      </w:r>
      <w:proofErr w:type="spellEnd"/>
      <w:r>
        <w:t xml:space="preserve"> contain an amendment to the </w:t>
      </w:r>
      <w:r w:rsidR="000F192E">
        <w:t>Section</w:t>
      </w:r>
      <w:r>
        <w:t xml:space="preserve"> 304 regulations, which deal with purchases by a corporation of the stock of a related corporation.  The preamble to the 2016 General Inversion </w:t>
      </w:r>
      <w:proofErr w:type="spellStart"/>
      <w:r>
        <w:t>Regs</w:t>
      </w:r>
      <w:proofErr w:type="spellEnd"/>
      <w:r>
        <w:t xml:space="preserve"> sets out the following description of the basic rules</w:t>
      </w:r>
      <w:r w:rsidR="00B37D68">
        <w:t>:</w:t>
      </w:r>
      <w:r>
        <w:t xml:space="preserve"> </w:t>
      </w:r>
    </w:p>
    <w:p w:rsidR="001979C5" w:rsidRDefault="001979C5"/>
    <w:p w:rsidR="00811064" w:rsidRPr="00811064" w:rsidRDefault="00811064" w:rsidP="00B37D68">
      <w:pPr>
        <w:ind w:left="720"/>
      </w:pPr>
      <w:r w:rsidRPr="00811064">
        <w:t xml:space="preserve">The </w:t>
      </w:r>
      <w:r w:rsidR="000F192E">
        <w:t>Section</w:t>
      </w:r>
      <w:r w:rsidRPr="00811064">
        <w:t xml:space="preserve"> 304 Rules</w:t>
      </w:r>
    </w:p>
    <w:p w:rsidR="00811064" w:rsidRPr="00811064" w:rsidRDefault="00811064" w:rsidP="00B37D68">
      <w:pPr>
        <w:ind w:left="720"/>
      </w:pPr>
      <w:r w:rsidRPr="00811064">
        <w:t>a. Transactions at issue</w:t>
      </w:r>
    </w:p>
    <w:p w:rsidR="00811064" w:rsidRPr="00811064" w:rsidRDefault="000F192E" w:rsidP="00B37D68">
      <w:pPr>
        <w:ind w:left="720"/>
      </w:pPr>
      <w:r>
        <w:t>Section</w:t>
      </w:r>
      <w:r w:rsidR="00811064" w:rsidRPr="00811064">
        <w:t xml:space="preserve"> 3.03(b) of the 2014 notice explains how taxpayers may be engaging in</w:t>
      </w:r>
      <w:r w:rsidR="0033050B">
        <w:t xml:space="preserve"> </w:t>
      </w:r>
      <w:r w:rsidR="00811064" w:rsidRPr="00811064">
        <w:t>certain transactions following an inversion transaction that reduce the earnings and</w:t>
      </w:r>
      <w:r w:rsidR="0033050B">
        <w:t xml:space="preserve"> </w:t>
      </w:r>
      <w:r w:rsidR="00811064" w:rsidRPr="00811064">
        <w:t>profits of a CFC to facilitate repatriation of cash and other property of the CFC. The</w:t>
      </w:r>
      <w:r w:rsidR="0033050B">
        <w:t xml:space="preserve"> </w:t>
      </w:r>
      <w:r w:rsidR="00811064" w:rsidRPr="00811064">
        <w:t xml:space="preserve">Treasury Department and the IRS understand that taxpayers may interpret </w:t>
      </w:r>
      <w:r>
        <w:t>Section</w:t>
      </w:r>
      <w:r w:rsidR="0033050B">
        <w:t xml:space="preserve"> </w:t>
      </w:r>
      <w:r w:rsidR="00811064" w:rsidRPr="00811064">
        <w:t>304(b</w:t>
      </w:r>
      <w:proofErr w:type="gramStart"/>
      <w:r w:rsidR="00811064" w:rsidRPr="00811064">
        <w:t>)(</w:t>
      </w:r>
      <w:proofErr w:type="gramEnd"/>
      <w:r w:rsidR="00811064" w:rsidRPr="00811064">
        <w:t>5)(B) to not apply when more than 50 percent of the dividend arising upon</w:t>
      </w:r>
      <w:r w:rsidR="0033050B">
        <w:t xml:space="preserve"> </w:t>
      </w:r>
      <w:r w:rsidR="00811064" w:rsidRPr="00811064">
        <w:t xml:space="preserve">application of </w:t>
      </w:r>
      <w:r>
        <w:t>Section</w:t>
      </w:r>
      <w:r w:rsidR="00811064" w:rsidRPr="00811064">
        <w:t xml:space="preserve"> 304 is sourced from the domestic corporation, even though, for</w:t>
      </w:r>
      <w:r w:rsidR="0033050B">
        <w:t xml:space="preserve"> </w:t>
      </w:r>
      <w:r w:rsidR="00811064" w:rsidRPr="00811064">
        <w:t>example, pursuant to an income tax treaty there may be no (or a reduced rate of) U.S.</w:t>
      </w:r>
      <w:r w:rsidR="00A0040C">
        <w:t xml:space="preserve"> </w:t>
      </w:r>
      <w:r w:rsidR="00811064" w:rsidRPr="00811064">
        <w:t>withholding tax imposed on a dividend sourced from the domestic corporation. Under</w:t>
      </w:r>
      <w:r w:rsidR="00A0040C">
        <w:t xml:space="preserve"> </w:t>
      </w:r>
      <w:r w:rsidR="00811064" w:rsidRPr="00811064">
        <w:t>this position, the dividend sourced from earnings and profits of the CFC would never be</w:t>
      </w:r>
      <w:r w:rsidR="00A0040C">
        <w:t xml:space="preserve"> </w:t>
      </w:r>
      <w:r w:rsidR="00811064" w:rsidRPr="00811064">
        <w:t>subject to U.S. federal income tax.</w:t>
      </w:r>
    </w:p>
    <w:p w:rsidR="00A0040C" w:rsidRDefault="00A0040C" w:rsidP="00B37D68">
      <w:pPr>
        <w:ind w:left="720"/>
      </w:pPr>
    </w:p>
    <w:p w:rsidR="00811064" w:rsidRPr="00811064" w:rsidRDefault="00811064" w:rsidP="00B37D68">
      <w:pPr>
        <w:ind w:left="720"/>
      </w:pPr>
      <w:r w:rsidRPr="00811064">
        <w:t>b. Overview</w:t>
      </w:r>
    </w:p>
    <w:p w:rsidR="00043CF2" w:rsidRDefault="00811064" w:rsidP="00B37D68">
      <w:pPr>
        <w:ind w:left="720"/>
      </w:pPr>
      <w:r w:rsidRPr="00811064">
        <w:t xml:space="preserve">To address </w:t>
      </w:r>
      <w:r w:rsidR="00A0040C">
        <w:t xml:space="preserve">[these] </w:t>
      </w:r>
      <w:r w:rsidRPr="00811064">
        <w:t xml:space="preserve">concerns </w:t>
      </w:r>
      <w:r w:rsidR="0089694D">
        <w:t xml:space="preserve">. . . </w:t>
      </w:r>
      <w:r w:rsidR="000F192E">
        <w:t>Section</w:t>
      </w:r>
      <w:r w:rsidRPr="00811064">
        <w:t xml:space="preserve"> 3.03(b)</w:t>
      </w:r>
      <w:r w:rsidR="0089694D">
        <w:t xml:space="preserve"> </w:t>
      </w:r>
      <w:r w:rsidRPr="00811064">
        <w:t xml:space="preserve">of the 2014 notice provides rules (the </w:t>
      </w:r>
      <w:r w:rsidR="000F192E">
        <w:t>Section</w:t>
      </w:r>
      <w:r w:rsidRPr="00811064">
        <w:t xml:space="preserve"> 304 rules) that apply for purposes of</w:t>
      </w:r>
      <w:r w:rsidR="0089694D">
        <w:t xml:space="preserve"> </w:t>
      </w:r>
      <w:r w:rsidR="000F192E">
        <w:t>Section</w:t>
      </w:r>
      <w:r w:rsidRPr="00811064">
        <w:t xml:space="preserve"> 304(b)(5)(B). In particular, the </w:t>
      </w:r>
      <w:r w:rsidR="000F192E">
        <w:t>Section</w:t>
      </w:r>
      <w:r w:rsidRPr="00811064">
        <w:t xml:space="preserve"> 304 rules provide that the determination</w:t>
      </w:r>
      <w:r w:rsidR="0089694D">
        <w:t xml:space="preserve"> </w:t>
      </w:r>
      <w:r w:rsidRPr="00811064">
        <w:t xml:space="preserve">of whether more than 50 percent of the dividends that arise under </w:t>
      </w:r>
      <w:r w:rsidR="000F192E">
        <w:t>Section</w:t>
      </w:r>
      <w:r w:rsidRPr="00811064">
        <w:t xml:space="preserve"> 304(b</w:t>
      </w:r>
      <w:proofErr w:type="gramStart"/>
      <w:r w:rsidRPr="00811064">
        <w:t>)(</w:t>
      </w:r>
      <w:proofErr w:type="gramEnd"/>
      <w:r w:rsidRPr="00811064">
        <w:t>2) is</w:t>
      </w:r>
      <w:r w:rsidR="0089694D">
        <w:t xml:space="preserve"> </w:t>
      </w:r>
      <w:r w:rsidRPr="00811064">
        <w:t>subject to tax or includible in the earnings and profits of a CFC is made by taking into</w:t>
      </w:r>
      <w:r w:rsidR="0089694D">
        <w:t xml:space="preserve"> </w:t>
      </w:r>
      <w:r w:rsidRPr="00811064">
        <w:t>account only the earnings and profits of the acquiring corporation (and therefore</w:t>
      </w:r>
      <w:r w:rsidR="0089694D">
        <w:t xml:space="preserve"> </w:t>
      </w:r>
      <w:r w:rsidRPr="00811064">
        <w:t xml:space="preserve">excluding the earnings and profits of the issuing corporation). </w:t>
      </w:r>
      <w:r w:rsidR="00043CF2">
        <w:t xml:space="preserve">. . . </w:t>
      </w:r>
    </w:p>
    <w:p w:rsidR="00043CF2" w:rsidRDefault="00043CF2" w:rsidP="00811064"/>
    <w:p w:rsidR="00811064" w:rsidRPr="00811064" w:rsidRDefault="00811064" w:rsidP="00B37D68">
      <w:pPr>
        <w:ind w:left="720"/>
      </w:pPr>
      <w:r w:rsidRPr="00811064">
        <w:t xml:space="preserve">c. Regulations implementing the </w:t>
      </w:r>
      <w:r w:rsidR="000F192E">
        <w:t>Section</w:t>
      </w:r>
      <w:r w:rsidRPr="00811064">
        <w:t xml:space="preserve"> 304 rules</w:t>
      </w:r>
    </w:p>
    <w:p w:rsidR="00A86150" w:rsidRDefault="000F192E" w:rsidP="00B37D68">
      <w:pPr>
        <w:ind w:left="720"/>
      </w:pPr>
      <w:r>
        <w:t>Section</w:t>
      </w:r>
      <w:r w:rsidR="00811064" w:rsidRPr="00811064">
        <w:t xml:space="preserve"> 1.304-7T sets forth regulations implementing the </w:t>
      </w:r>
      <w:r>
        <w:t>Section</w:t>
      </w:r>
      <w:r w:rsidR="00811064" w:rsidRPr="00811064">
        <w:t xml:space="preserve"> 304 rules as</w:t>
      </w:r>
      <w:r w:rsidR="00043CF2">
        <w:t xml:space="preserve"> </w:t>
      </w:r>
      <w:r w:rsidR="00811064" w:rsidRPr="00811064">
        <w:t>described in the 2014 notice.</w:t>
      </w:r>
      <w:r w:rsidR="00B37D68">
        <w:rPr>
          <w:rStyle w:val="FootnoteReference"/>
        </w:rPr>
        <w:footnoteReference w:id="21"/>
      </w:r>
      <w:r w:rsidR="006874B0">
        <w:t xml:space="preserve">  . </w:t>
      </w:r>
    </w:p>
    <w:p w:rsidR="00A86150" w:rsidRDefault="00A86150" w:rsidP="00B37D68">
      <w:pPr>
        <w:ind w:left="720"/>
      </w:pPr>
    </w:p>
    <w:p w:rsidR="00811064" w:rsidRPr="00811064" w:rsidRDefault="00A86150" w:rsidP="00A86150">
      <w:r w:rsidRPr="00A86150">
        <w:t xml:space="preserve">The general principles in this very complex </w:t>
      </w:r>
      <w:proofErr w:type="spellStart"/>
      <w:r w:rsidRPr="00A86150">
        <w:t>reg</w:t>
      </w:r>
      <w:proofErr w:type="spellEnd"/>
      <w:r w:rsidRPr="00A86150">
        <w:t xml:space="preserve"> are illustrated in SLIDE #15 ANTI-SECTION 304 AVOIDANCE RULE, REG. §1 304-7T</w:t>
      </w:r>
      <w:proofErr w:type="gramStart"/>
      <w:r>
        <w:t>.</w:t>
      </w:r>
      <w:r w:rsidR="006874B0">
        <w:t>.</w:t>
      </w:r>
      <w:proofErr w:type="gramEnd"/>
      <w:r w:rsidR="006874B0">
        <w:t xml:space="preserve"> . </w:t>
      </w:r>
    </w:p>
    <w:p w:rsidR="001979C5" w:rsidRDefault="00D81340" w:rsidP="00B34C4A">
      <w:pPr>
        <w:pStyle w:val="Heading2"/>
      </w:pPr>
      <w:bookmarkStart w:id="82" w:name="_Toc449442000"/>
      <w:r w:rsidRPr="006D3B49">
        <w:t>THE</w:t>
      </w:r>
      <w:r>
        <w:t xml:space="preserve"> INVERSION GAIN RULE, </w:t>
      </w:r>
      <w:r w:rsidR="000F192E">
        <w:t>SECTION</w:t>
      </w:r>
      <w:r w:rsidRPr="006D3B49">
        <w:t xml:space="preserve"> §1.</w:t>
      </w:r>
      <w:r>
        <w:t>7874-11T</w:t>
      </w:r>
      <w:bookmarkEnd w:id="82"/>
    </w:p>
    <w:p w:rsidR="00D81852" w:rsidRPr="00D81852" w:rsidRDefault="005321F1" w:rsidP="00D81852">
      <w:r>
        <w:t xml:space="preserve">The 2016 General Inversion </w:t>
      </w:r>
      <w:proofErr w:type="spellStart"/>
      <w:r>
        <w:t>Regs</w:t>
      </w:r>
      <w:proofErr w:type="spellEnd"/>
      <w:r>
        <w:t xml:space="preserve"> contain the following discussion of the treatment of inversion </w:t>
      </w:r>
      <w:r w:rsidRPr="00D81852">
        <w:t xml:space="preserve">gains under </w:t>
      </w:r>
      <w:r w:rsidR="00D81852" w:rsidRPr="00D81852">
        <w:t>§1.7874-11T</w:t>
      </w:r>
      <w:r w:rsidR="00D81852">
        <w:t>:</w:t>
      </w:r>
    </w:p>
    <w:p w:rsidR="00BD397F" w:rsidRDefault="00BD397F"/>
    <w:p w:rsidR="007732FA" w:rsidRPr="007732FA" w:rsidRDefault="007732FA" w:rsidP="00793671">
      <w:pPr>
        <w:ind w:left="720"/>
      </w:pPr>
      <w:r w:rsidRPr="007732FA">
        <w:t>C. Inversion gain rule</w:t>
      </w:r>
    </w:p>
    <w:p w:rsidR="007732FA" w:rsidRPr="007732FA" w:rsidRDefault="007732FA" w:rsidP="00793671">
      <w:pPr>
        <w:ind w:left="720"/>
      </w:pPr>
      <w:r w:rsidRPr="007732FA">
        <w:t>1. In General</w:t>
      </w:r>
    </w:p>
    <w:p w:rsidR="007732FA" w:rsidRDefault="000F192E" w:rsidP="00793671">
      <w:pPr>
        <w:ind w:left="720"/>
      </w:pPr>
      <w:r>
        <w:t>Section</w:t>
      </w:r>
      <w:r w:rsidR="007732FA" w:rsidRPr="007732FA">
        <w:t xml:space="preserve"> 7874(a</w:t>
      </w:r>
      <w:proofErr w:type="gramStart"/>
      <w:r w:rsidR="007732FA" w:rsidRPr="007732FA">
        <w:t>)(</w:t>
      </w:r>
      <w:proofErr w:type="gramEnd"/>
      <w:r w:rsidR="007732FA" w:rsidRPr="007732FA">
        <w:t xml:space="preserve">1), together with </w:t>
      </w:r>
      <w:r>
        <w:t>Section</w:t>
      </w:r>
      <w:r w:rsidR="007732FA" w:rsidRPr="007732FA">
        <w:t xml:space="preserve"> 7874(e)(1) (which prevents the use of</w:t>
      </w:r>
      <w:r w:rsidR="00570D62">
        <w:t xml:space="preserve"> </w:t>
      </w:r>
      <w:r w:rsidR="007732FA" w:rsidRPr="007732FA">
        <w:t>certain credits to offset U.S. federal income tax on inversion gain), ensures that an</w:t>
      </w:r>
      <w:r w:rsidR="00570D62">
        <w:t xml:space="preserve"> </w:t>
      </w:r>
      <w:r w:rsidR="007732FA" w:rsidRPr="007732FA">
        <w:t>expatriated entity</w:t>
      </w:r>
      <w:r w:rsidR="00570D62">
        <w:t xml:space="preserve"> [i.e., the domestic parent that is acquired in the inversion]</w:t>
      </w:r>
      <w:r w:rsidR="007732FA" w:rsidRPr="007732FA">
        <w:t xml:space="preserve"> generally pays current U.S. federal income tax with respect to</w:t>
      </w:r>
      <w:r w:rsidR="00570D62">
        <w:t xml:space="preserve"> </w:t>
      </w:r>
      <w:r w:rsidR="007732FA" w:rsidRPr="007732FA">
        <w:t xml:space="preserve">inversion gain. These rules are intended to ensure </w:t>
      </w:r>
      <w:r w:rsidR="007732FA" w:rsidRPr="007732FA">
        <w:lastRenderedPageBreak/>
        <w:t>that an appropriate “toll charge” is</w:t>
      </w:r>
      <w:r w:rsidR="00570D62">
        <w:t xml:space="preserve"> </w:t>
      </w:r>
      <w:r w:rsidR="007732FA" w:rsidRPr="007732FA">
        <w:t>paid on transactions that accompany or follow an inversion transaction and are</w:t>
      </w:r>
      <w:r w:rsidR="000A0696">
        <w:t xml:space="preserve"> </w:t>
      </w:r>
      <w:r w:rsidR="007732FA" w:rsidRPr="007732FA">
        <w:t>designed to “remove income from foreign operations from the U.S. taxing jurisdiction.”</w:t>
      </w:r>
      <w:r w:rsidR="00D81852">
        <w:t xml:space="preserve">  </w:t>
      </w:r>
      <w:r w:rsidR="007732FA" w:rsidRPr="007732FA">
        <w:t>See H.R. Conf. Rep. No. 755, at 568, 574 (2004); JCT Explanation, at 342, 345.</w:t>
      </w:r>
    </w:p>
    <w:p w:rsidR="000A0696" w:rsidRPr="007732FA" w:rsidRDefault="000A0696" w:rsidP="00793671">
      <w:pPr>
        <w:ind w:left="720"/>
      </w:pPr>
    </w:p>
    <w:p w:rsidR="007732FA" w:rsidRDefault="000F192E" w:rsidP="00793671">
      <w:pPr>
        <w:ind w:left="720"/>
      </w:pPr>
      <w:r>
        <w:t>Section</w:t>
      </w:r>
      <w:r w:rsidR="007732FA" w:rsidRPr="007732FA">
        <w:t xml:space="preserve"> 3.01(b) of the 2015 notice announces that the Treasury Department and</w:t>
      </w:r>
      <w:r w:rsidR="000A0696">
        <w:t xml:space="preserve"> </w:t>
      </w:r>
      <w:r w:rsidR="007732FA" w:rsidRPr="007732FA">
        <w:t>the IRS intend to issue regulations that will provide a rule (the inversion gain rule) to</w:t>
      </w:r>
      <w:r w:rsidR="000A0696">
        <w:t xml:space="preserve"> </w:t>
      </w:r>
      <w:r w:rsidR="007732FA" w:rsidRPr="007732FA">
        <w:t>address certain indirect transfers by an expatriated entity that, absent the rule, could</w:t>
      </w:r>
      <w:r w:rsidR="000A0696">
        <w:t xml:space="preserve"> </w:t>
      </w:r>
      <w:r w:rsidR="007732FA" w:rsidRPr="007732FA">
        <w:t>have the effect of removing foreign earnings from the U.S. taxing jurisdiction while</w:t>
      </w:r>
      <w:r w:rsidR="00A95F67">
        <w:t xml:space="preserve"> </w:t>
      </w:r>
      <w:r w:rsidR="007732FA" w:rsidRPr="007732FA">
        <w:t>avoiding current U.S. federal income tax. As described in the 2015 notice, the inversion</w:t>
      </w:r>
      <w:r w:rsidR="00A95F67">
        <w:t xml:space="preserve"> </w:t>
      </w:r>
      <w:r w:rsidR="007732FA" w:rsidRPr="007732FA">
        <w:t>gain rule provides that inversion gain includes income or gain recognized by an</w:t>
      </w:r>
      <w:r w:rsidR="00A95F67">
        <w:t xml:space="preserve"> </w:t>
      </w:r>
      <w:r w:rsidR="007732FA" w:rsidRPr="007732FA">
        <w:t>expatriated entity from an indirect transfer or license of property, such as an expatriated</w:t>
      </w:r>
      <w:r w:rsidR="00A95F67">
        <w:t xml:space="preserve"> </w:t>
      </w:r>
      <w:r w:rsidR="007732FA" w:rsidRPr="007732FA">
        <w:t xml:space="preserve">entity’s </w:t>
      </w:r>
      <w:r>
        <w:t>Section</w:t>
      </w:r>
      <w:r w:rsidR="007732FA" w:rsidRPr="007732FA">
        <w:t xml:space="preserve"> 951(a)(1)(A) gross income inclusions taken into account during the</w:t>
      </w:r>
      <w:r w:rsidR="00A95F67">
        <w:t xml:space="preserve"> </w:t>
      </w:r>
      <w:r w:rsidR="007732FA" w:rsidRPr="007732FA">
        <w:t>applicable period that are attributable to a transfer of stock or other properties or a</w:t>
      </w:r>
      <w:r w:rsidR="00A95F67">
        <w:t xml:space="preserve"> </w:t>
      </w:r>
      <w:r w:rsidR="007732FA" w:rsidRPr="007732FA">
        <w:t>license of property, either: (</w:t>
      </w:r>
      <w:proofErr w:type="spellStart"/>
      <w:r w:rsidR="007732FA" w:rsidRPr="007732FA">
        <w:t>i</w:t>
      </w:r>
      <w:proofErr w:type="spellEnd"/>
      <w:r w:rsidR="007732FA" w:rsidRPr="007732FA">
        <w:t>) as part of the acquisition, or (ii) after such acquisition if the</w:t>
      </w:r>
      <w:r w:rsidR="00DF21FC">
        <w:t xml:space="preserve"> </w:t>
      </w:r>
      <w:r w:rsidR="007732FA" w:rsidRPr="007732FA">
        <w:t>transfer or license is to a specified related person. However, clause (ii) of the preceding</w:t>
      </w:r>
      <w:r w:rsidR="00DF21FC">
        <w:t xml:space="preserve"> </w:t>
      </w:r>
      <w:r w:rsidR="007732FA" w:rsidRPr="007732FA">
        <w:t>sentence generally does not apply to transfers or licenses of property that is inventory in</w:t>
      </w:r>
      <w:r w:rsidR="00DF21FC">
        <w:t xml:space="preserve"> </w:t>
      </w:r>
      <w:r w:rsidR="007732FA" w:rsidRPr="007732FA">
        <w:t xml:space="preserve">the hands of the transferor or </w:t>
      </w:r>
      <w:proofErr w:type="gramStart"/>
      <w:r w:rsidR="007732FA" w:rsidRPr="007732FA">
        <w:t>licensor.</w:t>
      </w:r>
      <w:r w:rsidR="00DF21FC">
        <w:t xml:space="preserve"> . . .</w:t>
      </w:r>
      <w:proofErr w:type="gramEnd"/>
      <w:r w:rsidR="00DF21FC">
        <w:t xml:space="preserve"> </w:t>
      </w:r>
    </w:p>
    <w:p w:rsidR="00DF21FC" w:rsidRPr="007732FA" w:rsidRDefault="00DF21FC" w:rsidP="00793671">
      <w:pPr>
        <w:ind w:left="720"/>
      </w:pPr>
    </w:p>
    <w:p w:rsidR="007732FA" w:rsidRPr="007732FA" w:rsidRDefault="007732FA" w:rsidP="00793671">
      <w:pPr>
        <w:ind w:left="720"/>
      </w:pPr>
      <w:r w:rsidRPr="007732FA">
        <w:t>2. Regulations Implementing the Inversion Gain Rule</w:t>
      </w:r>
    </w:p>
    <w:p w:rsidR="007732FA" w:rsidRPr="007732FA" w:rsidRDefault="000F192E" w:rsidP="00793671">
      <w:pPr>
        <w:ind w:left="720"/>
      </w:pPr>
      <w:r>
        <w:t>Section</w:t>
      </w:r>
      <w:r w:rsidR="007732FA" w:rsidRPr="007732FA">
        <w:t xml:space="preserve"> 1.7874-11T sets forth the inversion gain rule as described in the 2015</w:t>
      </w:r>
    </w:p>
    <w:p w:rsidR="00793671" w:rsidRDefault="007732FA" w:rsidP="00793671">
      <w:pPr>
        <w:ind w:left="720"/>
      </w:pPr>
      <w:proofErr w:type="gramStart"/>
      <w:r w:rsidRPr="007732FA">
        <w:t>notice</w:t>
      </w:r>
      <w:proofErr w:type="gramEnd"/>
      <w:r w:rsidRPr="007732FA">
        <w:t>, subject to</w:t>
      </w:r>
      <w:r w:rsidR="00793671">
        <w:t xml:space="preserve"> [a] </w:t>
      </w:r>
      <w:r w:rsidRPr="007732FA">
        <w:t>modification.</w:t>
      </w:r>
      <w:r w:rsidR="00793671">
        <w:rPr>
          <w:rStyle w:val="FootnoteReference"/>
        </w:rPr>
        <w:footnoteReference w:id="22"/>
      </w:r>
      <w:r w:rsidRPr="007732FA">
        <w:t xml:space="preserve"> </w:t>
      </w:r>
    </w:p>
    <w:p w:rsidR="00793671" w:rsidRDefault="00793671" w:rsidP="00793671">
      <w:pPr>
        <w:ind w:left="720"/>
      </w:pPr>
    </w:p>
    <w:p w:rsidR="006733BD" w:rsidRDefault="00DB0763" w:rsidP="005E68C1">
      <w:pPr>
        <w:pStyle w:val="Heading1"/>
      </w:pPr>
      <w:r>
        <w:rPr>
          <w:caps w:val="0"/>
        </w:rPr>
        <w:t xml:space="preserve">   </w:t>
      </w:r>
      <w:bookmarkStart w:id="83" w:name="_Toc449442001"/>
      <w:r w:rsidR="005E68C1">
        <w:rPr>
          <w:caps w:val="0"/>
        </w:rPr>
        <w:t xml:space="preserve">THE </w:t>
      </w:r>
      <w:r w:rsidR="005E68C1" w:rsidRPr="00A356FD">
        <w:rPr>
          <w:caps w:val="0"/>
        </w:rPr>
        <w:t>201</w:t>
      </w:r>
      <w:r w:rsidR="005E68C1">
        <w:rPr>
          <w:caps w:val="0"/>
        </w:rPr>
        <w:t xml:space="preserve">6 TREASURY INTEREST STRIPPING REGULATIONS UNDER </w:t>
      </w:r>
      <w:r w:rsidR="000F192E">
        <w:rPr>
          <w:caps w:val="0"/>
        </w:rPr>
        <w:t>SECTION</w:t>
      </w:r>
      <w:r w:rsidR="005E68C1">
        <w:rPr>
          <w:caps w:val="0"/>
        </w:rPr>
        <w:t xml:space="preserve"> 385</w:t>
      </w:r>
      <w:bookmarkEnd w:id="83"/>
    </w:p>
    <w:p w:rsidR="006733BD" w:rsidRDefault="002C3095" w:rsidP="00B34C4A">
      <w:pPr>
        <w:pStyle w:val="Heading2"/>
      </w:pPr>
      <w:bookmarkStart w:id="84" w:name="_Toc449442002"/>
      <w:r w:rsidRPr="00F02F42">
        <w:t>INTRODUCTION TO THE 201</w:t>
      </w:r>
      <w:r>
        <w:t xml:space="preserve">6 TREASURY REGULATIONS (1) IMPLEMENTING THE 2014 AND 2015 TREASURY NOTICES, AND (2) PROMULGATING REGULATIONS UNDER </w:t>
      </w:r>
      <w:r w:rsidR="000F192E">
        <w:t>SECTION</w:t>
      </w:r>
      <w:r>
        <w:t xml:space="preserve"> 385</w:t>
      </w:r>
      <w:bookmarkEnd w:id="84"/>
    </w:p>
    <w:p w:rsidR="008005F5" w:rsidRDefault="008005F5" w:rsidP="008005F5">
      <w:r>
        <w:t xml:space="preserve">As discussed </w:t>
      </w:r>
      <w:r w:rsidR="005E68C1">
        <w:t>above</w:t>
      </w:r>
      <w:r w:rsidR="00696E0F">
        <w:t>,</w:t>
      </w:r>
      <w:r w:rsidR="005E68C1">
        <w:t xml:space="preserve"> </w:t>
      </w:r>
      <w:r>
        <w:t>in September 2014</w:t>
      </w:r>
      <w:r w:rsidR="00AE3AF5">
        <w:t>,</w:t>
      </w:r>
      <w:r>
        <w:t xml:space="preserve"> the Treasury and IRS issued a notice on inversions (the 2014 Inversion Notice), and in December 2015, the Treasury and IRS issued an additional notice on inversions (the 2015 Inversion Notice), which supplements and modifies this 2014 Inversion Notice. </w:t>
      </w:r>
    </w:p>
    <w:p w:rsidR="008005F5" w:rsidRDefault="008005F5" w:rsidP="008005F5"/>
    <w:p w:rsidR="004D5F91" w:rsidRDefault="008005F5" w:rsidP="008005F5">
      <w:r>
        <w:t>In April 2016, the Treasury issued two sets of regulations addressing inversions.  One set of regulations implements the concepts discussed in the 2014 and 2015 notices, and this set of regulations</w:t>
      </w:r>
      <w:r w:rsidR="00FD721F">
        <w:t xml:space="preserve">, which is titled </w:t>
      </w:r>
      <w:r w:rsidR="00FD721F" w:rsidRPr="00FD721F">
        <w:rPr>
          <w:i/>
        </w:rPr>
        <w:t>Inversions and Related Transactions</w:t>
      </w:r>
      <w:r w:rsidR="00FD721F">
        <w:t>,</w:t>
      </w:r>
      <w:r>
        <w:t xml:space="preserve"> is discussed in </w:t>
      </w:r>
      <w:r w:rsidR="000F192E">
        <w:t>Section</w:t>
      </w:r>
      <w:r>
        <w:t xml:space="preserve"> </w:t>
      </w:r>
      <w:r w:rsidR="00AE3AF5">
        <w:t>1.2</w:t>
      </w:r>
      <w:r>
        <w:t>.  The second set of regulations</w:t>
      </w:r>
      <w:r w:rsidR="00303E58">
        <w:t xml:space="preserve">, which is discussed in this </w:t>
      </w:r>
      <w:r w:rsidR="000F192E">
        <w:t>Section</w:t>
      </w:r>
      <w:r w:rsidR="00686487">
        <w:t xml:space="preserve"> </w:t>
      </w:r>
      <w:r w:rsidR="002C3095">
        <w:t>1.3</w:t>
      </w:r>
      <w:r w:rsidR="00686487">
        <w:t xml:space="preserve">, </w:t>
      </w:r>
      <w:r>
        <w:t xml:space="preserve">is issued under </w:t>
      </w:r>
      <w:r w:rsidR="000F192E">
        <w:t>Section</w:t>
      </w:r>
      <w:r>
        <w:t xml:space="preserve"> 385, which authorizes the Treasury to issue regulations dealing with debt-equity issues.  Among other things, this set of regulations</w:t>
      </w:r>
      <w:r w:rsidR="00A46026">
        <w:t>, which is titled “</w:t>
      </w:r>
      <w:r w:rsidR="00A46026" w:rsidRPr="004F5C81">
        <w:rPr>
          <w:i/>
        </w:rPr>
        <w:t>Treatment of Certain Interest in Corporations as Stock or Indebtedness</w:t>
      </w:r>
      <w:r w:rsidR="00A46026">
        <w:t>”</w:t>
      </w:r>
      <w:r w:rsidR="00664083">
        <w:t xml:space="preserve"> (the 2016 </w:t>
      </w:r>
      <w:r w:rsidR="000F192E">
        <w:t>Section</w:t>
      </w:r>
      <w:r w:rsidR="00664083">
        <w:t xml:space="preserve"> 385 </w:t>
      </w:r>
      <w:proofErr w:type="spellStart"/>
      <w:r w:rsidR="00664083">
        <w:t>Regs</w:t>
      </w:r>
      <w:proofErr w:type="spellEnd"/>
      <w:r w:rsidR="00664083">
        <w:t>)</w:t>
      </w:r>
      <w:r w:rsidR="00664083">
        <w:rPr>
          <w:rStyle w:val="FootnoteReference"/>
        </w:rPr>
        <w:footnoteReference w:id="23"/>
      </w:r>
      <w:r w:rsidR="00A46026">
        <w:t xml:space="preserve"> </w:t>
      </w:r>
      <w:r>
        <w:t>treats as stock certain debt instruments issued to related parties in transactions, including inversions,</w:t>
      </w:r>
      <w:r w:rsidR="00A87149">
        <w:t xml:space="preserve"> which </w:t>
      </w:r>
      <w:r>
        <w:t xml:space="preserve">can be used for interest </w:t>
      </w:r>
      <w:r>
        <w:lastRenderedPageBreak/>
        <w:t>stripping.</w:t>
      </w:r>
      <w:r w:rsidR="006B2EDA">
        <w:t xml:space="preserve">  This regulation is generally applicable as of the date of issuance, </w:t>
      </w:r>
      <w:r w:rsidR="002C3095">
        <w:t>April 4</w:t>
      </w:r>
      <w:r w:rsidR="006B2EDA">
        <w:t>, 2016.</w:t>
      </w:r>
      <w:r w:rsidR="00AA46B8">
        <w:t xml:space="preserve">  This </w:t>
      </w:r>
      <w:r w:rsidR="000F192E">
        <w:t>Section</w:t>
      </w:r>
      <w:r w:rsidR="00AA46B8">
        <w:t xml:space="preserve"> explores the basic principles in these proposed </w:t>
      </w:r>
      <w:r w:rsidR="000F192E">
        <w:t>Section</w:t>
      </w:r>
      <w:r w:rsidR="00AA46B8">
        <w:t xml:space="preserve"> 385 regulations.</w:t>
      </w:r>
      <w:r w:rsidR="00C54A47">
        <w:t xml:space="preserve">  It must be emphasized that this is merely a basic summary of these very detailed regulations, which are issued in a </w:t>
      </w:r>
      <w:r w:rsidR="00D55E17">
        <w:t xml:space="preserve">136 page Notice of Proposed Rulemaking.  </w:t>
      </w:r>
      <w:r w:rsidR="00AA46B8">
        <w:t xml:space="preserve">  </w:t>
      </w:r>
    </w:p>
    <w:p w:rsidR="009F14D4" w:rsidRDefault="009F14D4" w:rsidP="00B34C4A">
      <w:pPr>
        <w:pStyle w:val="Heading2"/>
      </w:pPr>
      <w:bookmarkStart w:id="85" w:name="_Toc449442003"/>
      <w:r>
        <w:t>ILLUSTRATION OF A PRE-SECTION 385 INTEREST STRIPPING TRANSACTION</w:t>
      </w:r>
      <w:bookmarkEnd w:id="85"/>
      <w:r>
        <w:t xml:space="preserve"> </w:t>
      </w:r>
    </w:p>
    <w:p w:rsidR="006F1869" w:rsidRDefault="00F05902" w:rsidP="004426EA">
      <w:r>
        <w:t>In order to interest strip, it is necessary to have a</w:t>
      </w:r>
      <w:r w:rsidR="006F1869">
        <w:t xml:space="preserve"> domestic corporation issue its </w:t>
      </w:r>
      <w:r>
        <w:t>debt instrument</w:t>
      </w:r>
      <w:r w:rsidR="006F1869">
        <w:t xml:space="preserve"> to a </w:t>
      </w:r>
      <w:r>
        <w:t xml:space="preserve">related </w:t>
      </w:r>
      <w:r w:rsidR="00521CE1">
        <w:t xml:space="preserve">foreign corporation </w:t>
      </w:r>
      <w:r>
        <w:t>that is not subject to the CFC rules</w:t>
      </w:r>
      <w:r w:rsidR="00281BDC">
        <w:t>.</w:t>
      </w:r>
      <w:r w:rsidR="00521CE1">
        <w:t xml:space="preserve">  If the CFC rules were to apply, the interest would be foreign personal holding company income that that</w:t>
      </w:r>
      <w:r w:rsidR="009A28F5">
        <w:t xml:space="preserve"> would be subject to imputation back to the U.S. firm.  </w:t>
      </w:r>
    </w:p>
    <w:p w:rsidR="006F1869" w:rsidRDefault="006F1869" w:rsidP="004426EA"/>
    <w:p w:rsidR="004426EA" w:rsidRPr="004426EA" w:rsidRDefault="00281BDC" w:rsidP="004426EA">
      <w:r>
        <w:t xml:space="preserve">One of the major reasons for inversions is to set up </w:t>
      </w:r>
      <w:r w:rsidR="00135249">
        <w:t xml:space="preserve">a structure that is conducive to interest stripping.  </w:t>
      </w:r>
      <w:r>
        <w:t>For example</w:t>
      </w:r>
      <w:r w:rsidR="00576359">
        <w:t xml:space="preserve">, </w:t>
      </w:r>
      <w:r>
        <w:t xml:space="preserve">in looking at </w:t>
      </w:r>
      <w:r w:rsidR="0057609B" w:rsidRPr="0057609B">
        <w:t>SLIDE #16 POTENTIAL POST-INVERSION INTEREST STRIPPING</w:t>
      </w:r>
      <w:r w:rsidR="0057609B">
        <w:t xml:space="preserve">, </w:t>
      </w:r>
      <w:r w:rsidR="00BC3DAE">
        <w:t xml:space="preserve">neither the </w:t>
      </w:r>
      <w:r w:rsidR="006C1027">
        <w:t xml:space="preserve">New Foreign Holding Company nor the Foreign Inversion Target are CFCs.  Consequently, </w:t>
      </w:r>
      <w:r w:rsidR="00774D23">
        <w:t>the Domestic Inverter could issue an interest stripping note to the New Foreign Holding Company.  As will be seen below, subject to certa</w:t>
      </w:r>
      <w:r w:rsidR="0050173C">
        <w:t xml:space="preserve">in exceptions, under Reg. § 1.385-3, the type of note issued in Slide </w:t>
      </w:r>
      <w:r w:rsidR="00D34D5A">
        <w:t xml:space="preserve"># </w:t>
      </w:r>
      <w:r w:rsidR="00146636">
        <w:t>16</w:t>
      </w:r>
      <w:r w:rsidR="00D34D5A">
        <w:t xml:space="preserve"> would be treated as equity.  </w:t>
      </w:r>
      <w:r w:rsidR="00576359">
        <w:t xml:space="preserve"> </w:t>
      </w:r>
      <w:r w:rsidR="004426EA" w:rsidRPr="004426EA">
        <w:t xml:space="preserve"> </w:t>
      </w:r>
    </w:p>
    <w:p w:rsidR="004426EA" w:rsidRPr="00F05902" w:rsidRDefault="004426EA" w:rsidP="00F05902"/>
    <w:p w:rsidR="004D5F91" w:rsidRDefault="000F192E" w:rsidP="00B34C4A">
      <w:pPr>
        <w:pStyle w:val="Heading2"/>
      </w:pPr>
      <w:bookmarkStart w:id="86" w:name="_Toc449442004"/>
      <w:r>
        <w:t>SECTION</w:t>
      </w:r>
      <w:r w:rsidR="002C3095">
        <w:t xml:space="preserve"> 385</w:t>
      </w:r>
      <w:r w:rsidR="004969B0">
        <w:t xml:space="preserve"> AND THE TREASURY’S AUTHORITY</w:t>
      </w:r>
      <w:bookmarkEnd w:id="86"/>
    </w:p>
    <w:p w:rsidR="00E8552E" w:rsidRPr="00E8552E" w:rsidRDefault="00E8552E" w:rsidP="00E8552E">
      <w:pPr>
        <w:pStyle w:val="Heading3"/>
      </w:pPr>
      <w:bookmarkStart w:id="87" w:name="_Toc449442005"/>
      <w:r>
        <w:t>INTRODUCTION</w:t>
      </w:r>
      <w:bookmarkEnd w:id="87"/>
    </w:p>
    <w:p w:rsidR="00E8552E" w:rsidRDefault="004D5F91" w:rsidP="008005F5">
      <w:r>
        <w:t xml:space="preserve">Before starting the analysis it is helpful to look at the words of </w:t>
      </w:r>
      <w:r w:rsidR="000F192E">
        <w:t>Section</w:t>
      </w:r>
      <w:r>
        <w:t xml:space="preserve"> 385</w:t>
      </w:r>
      <w:r w:rsidR="009220A1">
        <w:t xml:space="preserve"> and to consider if the Treasury has the authority to issue the proposed </w:t>
      </w:r>
      <w:r w:rsidR="000F192E">
        <w:t>Section</w:t>
      </w:r>
      <w:r w:rsidR="009220A1">
        <w:t xml:space="preserve"> 385 regulations.  </w:t>
      </w:r>
    </w:p>
    <w:p w:rsidR="00E2262F" w:rsidRPr="00E2262F" w:rsidRDefault="00E8552E" w:rsidP="00E2262F">
      <w:pPr>
        <w:pStyle w:val="Heading3"/>
      </w:pPr>
      <w:bookmarkStart w:id="88" w:name="_Toc449442006"/>
      <w:r>
        <w:t>SECTION 385</w:t>
      </w:r>
      <w:r w:rsidR="00E2262F">
        <w:t xml:space="preserve">: </w:t>
      </w:r>
      <w:r w:rsidR="00E2262F" w:rsidRPr="00E2262F">
        <w:t>TREATMENT OF CERTAIN INTERESTS IN CORPORATIONS AS STOCK OR INDEBTEDNESS</w:t>
      </w:r>
      <w:bookmarkEnd w:id="88"/>
    </w:p>
    <w:p w:rsidR="004D5F91" w:rsidRDefault="000F192E" w:rsidP="008005F5">
      <w:r>
        <w:t>Section</w:t>
      </w:r>
      <w:r w:rsidR="009220A1">
        <w:t xml:space="preserve"> 385, which was enacted in 1969, provides: </w:t>
      </w:r>
    </w:p>
    <w:p w:rsidR="004D5F91" w:rsidRDefault="004D5F91" w:rsidP="008005F5"/>
    <w:p w:rsidR="004D5F91" w:rsidRDefault="004D5F91" w:rsidP="001159D3">
      <w:pPr>
        <w:ind w:left="720"/>
      </w:pPr>
      <w:r>
        <w:rPr>
          <w:rStyle w:val="num"/>
        </w:rPr>
        <w:t>(a)</w:t>
      </w:r>
      <w:r>
        <w:rPr>
          <w:rStyle w:val="heading"/>
        </w:rPr>
        <w:t xml:space="preserve"> </w:t>
      </w:r>
      <w:r w:rsidRPr="0042051A">
        <w:rPr>
          <w:rStyle w:val="heading"/>
          <w:i/>
        </w:rPr>
        <w:t>Authority to prescribe regulations</w:t>
      </w:r>
      <w:r>
        <w:t xml:space="preserve"> </w:t>
      </w:r>
    </w:p>
    <w:p w:rsidR="004D5F91" w:rsidRDefault="004D5F91" w:rsidP="001159D3">
      <w:pPr>
        <w:pStyle w:val="NormalWeb"/>
        <w:ind w:left="720"/>
      </w:pPr>
      <w:r>
        <w:t xml:space="preserve">The Secretary is authorized to prescribe such regulations </w:t>
      </w:r>
      <w:r w:rsidRPr="00E416AD">
        <w:rPr>
          <w:b/>
        </w:rPr>
        <w:t>as may be necessary or appropriate</w:t>
      </w:r>
      <w:r>
        <w:t xml:space="preserve"> to determine whether an </w:t>
      </w:r>
      <w:r w:rsidRPr="00E416AD">
        <w:rPr>
          <w:b/>
        </w:rPr>
        <w:t>interest in a corporation is to be treated for purposes of this title as stock or indebtedness (or as in part stock and in part indebtedness).</w:t>
      </w:r>
    </w:p>
    <w:p w:rsidR="004D5F91" w:rsidRDefault="004D5F91" w:rsidP="001159D3">
      <w:pPr>
        <w:ind w:left="720"/>
      </w:pPr>
      <w:r>
        <w:rPr>
          <w:rStyle w:val="num"/>
        </w:rPr>
        <w:t>(b)</w:t>
      </w:r>
      <w:r>
        <w:rPr>
          <w:rStyle w:val="heading"/>
        </w:rPr>
        <w:t xml:space="preserve"> </w:t>
      </w:r>
      <w:proofErr w:type="gramStart"/>
      <w:r w:rsidRPr="0042051A">
        <w:rPr>
          <w:rStyle w:val="heading"/>
          <w:i/>
        </w:rPr>
        <w:t>Factors</w:t>
      </w:r>
      <w:r>
        <w:rPr>
          <w:rStyle w:val="heading"/>
        </w:rPr>
        <w:t xml:space="preserve">  </w:t>
      </w:r>
      <w:r>
        <w:rPr>
          <w:rStyle w:val="chapeau"/>
        </w:rPr>
        <w:t>The</w:t>
      </w:r>
      <w:proofErr w:type="gramEnd"/>
      <w:r>
        <w:rPr>
          <w:rStyle w:val="chapeau"/>
        </w:rPr>
        <w:t xml:space="preserve"> regulations prescribed under this </w:t>
      </w:r>
      <w:r w:rsidR="000F192E">
        <w:rPr>
          <w:rStyle w:val="chapeau"/>
        </w:rPr>
        <w:t>Section</w:t>
      </w:r>
      <w:r>
        <w:rPr>
          <w:rStyle w:val="chapeau"/>
        </w:rPr>
        <w:t xml:space="preserve"> </w:t>
      </w:r>
      <w:r w:rsidRPr="00C24AD9">
        <w:rPr>
          <w:rStyle w:val="chapeau"/>
          <w:b/>
        </w:rPr>
        <w:t>shall set forth factors</w:t>
      </w:r>
      <w:r>
        <w:rPr>
          <w:rStyle w:val="chapeau"/>
        </w:rPr>
        <w:t xml:space="preserve"> which are to be taken into account in determining with respect to a particular factual situation whether a debtor-creditor relationship exists or a corporation-shareholder relationship exists. The factors so set forth in the regulations </w:t>
      </w:r>
      <w:r w:rsidRPr="004C21C0">
        <w:rPr>
          <w:rStyle w:val="chapeau"/>
          <w:b/>
        </w:rPr>
        <w:t>may include among other factors</w:t>
      </w:r>
      <w:r>
        <w:rPr>
          <w:rStyle w:val="chapeau"/>
        </w:rPr>
        <w:t>:</w:t>
      </w:r>
      <w:r>
        <w:t xml:space="preserve"> </w:t>
      </w:r>
    </w:p>
    <w:p w:rsidR="0042051A" w:rsidRDefault="0042051A" w:rsidP="001159D3">
      <w:pPr>
        <w:ind w:left="720"/>
      </w:pPr>
    </w:p>
    <w:p w:rsidR="004D5F91" w:rsidRDefault="004D5F91" w:rsidP="001159D3">
      <w:pPr>
        <w:ind w:left="1440"/>
      </w:pPr>
      <w:bookmarkStart w:id="89" w:name="b_1"/>
      <w:bookmarkEnd w:id="89"/>
      <w:r>
        <w:rPr>
          <w:rStyle w:val="num"/>
        </w:rPr>
        <w:t>(1)</w:t>
      </w:r>
      <w:r>
        <w:t xml:space="preserve"> whether there is a written unconditional promise to pay on demand or on a specified date a sum certain in money in return for an adequate consideration in money or money’s worth, and to pay a fixed rate of interest,</w:t>
      </w:r>
    </w:p>
    <w:p w:rsidR="004D5F91" w:rsidRDefault="004D5F91" w:rsidP="001159D3">
      <w:pPr>
        <w:ind w:left="1440"/>
      </w:pPr>
      <w:bookmarkStart w:id="90" w:name="b_2"/>
      <w:bookmarkEnd w:id="90"/>
      <w:r>
        <w:rPr>
          <w:rStyle w:val="num"/>
        </w:rPr>
        <w:lastRenderedPageBreak/>
        <w:t>(2)</w:t>
      </w:r>
      <w:r w:rsidR="0042051A">
        <w:rPr>
          <w:rStyle w:val="num"/>
        </w:rPr>
        <w:t xml:space="preserve"> </w:t>
      </w:r>
      <w:proofErr w:type="gramStart"/>
      <w:r>
        <w:t>whether</w:t>
      </w:r>
      <w:proofErr w:type="gramEnd"/>
      <w:r>
        <w:t xml:space="preserve"> there is subordination to or preference over any indebtedness of the corporation,</w:t>
      </w:r>
    </w:p>
    <w:p w:rsidR="004D5F91" w:rsidRDefault="004D5F91" w:rsidP="001159D3">
      <w:pPr>
        <w:ind w:left="1440"/>
      </w:pPr>
      <w:bookmarkStart w:id="91" w:name="b_3"/>
      <w:bookmarkEnd w:id="91"/>
      <w:r>
        <w:rPr>
          <w:rStyle w:val="num"/>
        </w:rPr>
        <w:t>(3)</w:t>
      </w:r>
      <w:r w:rsidR="0042051A">
        <w:rPr>
          <w:rStyle w:val="num"/>
        </w:rPr>
        <w:t xml:space="preserve"> </w:t>
      </w:r>
      <w:proofErr w:type="gramStart"/>
      <w:r>
        <w:t>the</w:t>
      </w:r>
      <w:proofErr w:type="gramEnd"/>
      <w:r>
        <w:t xml:space="preserve"> ratio of debt to equity of the corporation,</w:t>
      </w:r>
    </w:p>
    <w:p w:rsidR="004D5F91" w:rsidRDefault="004D5F91" w:rsidP="001159D3">
      <w:pPr>
        <w:ind w:left="1440"/>
      </w:pPr>
      <w:bookmarkStart w:id="92" w:name="b_4"/>
      <w:bookmarkEnd w:id="92"/>
      <w:r>
        <w:rPr>
          <w:rStyle w:val="num"/>
        </w:rPr>
        <w:t>(4)</w:t>
      </w:r>
      <w:r>
        <w:t xml:space="preserve"> </w:t>
      </w:r>
      <w:proofErr w:type="gramStart"/>
      <w:r>
        <w:t>whether</w:t>
      </w:r>
      <w:proofErr w:type="gramEnd"/>
      <w:r>
        <w:t xml:space="preserve"> there is convertibility into the stock of the corporation, and</w:t>
      </w:r>
    </w:p>
    <w:p w:rsidR="004D5F91" w:rsidRPr="004C21C0" w:rsidRDefault="004D5F91" w:rsidP="001159D3">
      <w:pPr>
        <w:ind w:left="1440"/>
        <w:rPr>
          <w:b/>
        </w:rPr>
      </w:pPr>
      <w:bookmarkStart w:id="93" w:name="b_5"/>
      <w:bookmarkEnd w:id="93"/>
      <w:r>
        <w:rPr>
          <w:rStyle w:val="num"/>
        </w:rPr>
        <w:t>(5)</w:t>
      </w:r>
      <w:r>
        <w:t xml:space="preserve"> </w:t>
      </w:r>
      <w:proofErr w:type="gramStart"/>
      <w:r w:rsidRPr="004C21C0">
        <w:rPr>
          <w:b/>
        </w:rPr>
        <w:t>the</w:t>
      </w:r>
      <w:proofErr w:type="gramEnd"/>
      <w:r w:rsidRPr="004C21C0">
        <w:rPr>
          <w:b/>
        </w:rPr>
        <w:t xml:space="preserve"> relationship between holdings of stock in the corporation and holdings of the interest in question.</w:t>
      </w:r>
    </w:p>
    <w:p w:rsidR="004D5F91" w:rsidRDefault="004D5F91" w:rsidP="001159D3">
      <w:pPr>
        <w:ind w:left="720"/>
        <w:rPr>
          <w:rStyle w:val="num"/>
        </w:rPr>
      </w:pPr>
    </w:p>
    <w:p w:rsidR="004D5F91" w:rsidRDefault="004D5F91" w:rsidP="001159D3">
      <w:pPr>
        <w:ind w:left="720"/>
      </w:pPr>
      <w:r>
        <w:rPr>
          <w:rStyle w:val="num"/>
        </w:rPr>
        <w:t>(c)</w:t>
      </w:r>
      <w:r>
        <w:rPr>
          <w:rStyle w:val="heading"/>
        </w:rPr>
        <w:t xml:space="preserve"> </w:t>
      </w:r>
      <w:r w:rsidRPr="0042051A">
        <w:rPr>
          <w:rStyle w:val="heading"/>
          <w:i/>
        </w:rPr>
        <w:t>Effect of classification by issuer</w:t>
      </w:r>
      <w:r>
        <w:t xml:space="preserve"> </w:t>
      </w:r>
    </w:p>
    <w:p w:rsidR="004D5F91" w:rsidRDefault="004D5F91" w:rsidP="001159D3">
      <w:pPr>
        <w:ind w:left="720"/>
      </w:pPr>
      <w:r>
        <w:rPr>
          <w:rStyle w:val="num"/>
        </w:rPr>
        <w:t>(1)</w:t>
      </w:r>
      <w:r>
        <w:rPr>
          <w:rStyle w:val="heading"/>
        </w:rPr>
        <w:t xml:space="preserve"> </w:t>
      </w:r>
      <w:r w:rsidRPr="0042051A">
        <w:rPr>
          <w:rStyle w:val="heading"/>
          <w:i/>
        </w:rPr>
        <w:t>In general</w:t>
      </w:r>
      <w:r>
        <w:t xml:space="preserve"> </w:t>
      </w:r>
    </w:p>
    <w:p w:rsidR="004D5F91" w:rsidRDefault="004D5F91" w:rsidP="001159D3">
      <w:pPr>
        <w:pStyle w:val="NormalWeb"/>
        <w:ind w:left="720"/>
      </w:pPr>
      <w:r>
        <w:t>The characterization (as of the time of issuance) by the issuer as to whether an interest in a corporation is stock or indebtedness shall be binding on such issuer and on all holders of such interest (but shall not be binding on the Secretary).</w:t>
      </w:r>
    </w:p>
    <w:p w:rsidR="004D5F91" w:rsidRDefault="004D5F91" w:rsidP="001159D3">
      <w:pPr>
        <w:ind w:left="720"/>
      </w:pPr>
      <w:r>
        <w:rPr>
          <w:rStyle w:val="num"/>
        </w:rPr>
        <w:t>(2)</w:t>
      </w:r>
      <w:r>
        <w:rPr>
          <w:rStyle w:val="heading"/>
        </w:rPr>
        <w:t xml:space="preserve"> </w:t>
      </w:r>
      <w:r w:rsidRPr="001159D3">
        <w:rPr>
          <w:rStyle w:val="heading"/>
          <w:i/>
        </w:rPr>
        <w:t>Notification of inconsistent treatment</w:t>
      </w:r>
      <w:r>
        <w:t xml:space="preserve"> </w:t>
      </w:r>
    </w:p>
    <w:p w:rsidR="004D5F91" w:rsidRDefault="004D5F91" w:rsidP="001159D3">
      <w:pPr>
        <w:pStyle w:val="NormalWeb"/>
        <w:ind w:left="720"/>
      </w:pPr>
      <w:r>
        <w:t>Except as provided in regulations, paragraph (1) shall not apply to any holder of an interest if such holder on his return discloses that he is treating such interest in a manner inconsistent with the characterization referred to in paragraph (1).</w:t>
      </w:r>
    </w:p>
    <w:p w:rsidR="004D5F91" w:rsidRDefault="004D5F91" w:rsidP="001159D3">
      <w:pPr>
        <w:ind w:left="720"/>
      </w:pPr>
      <w:r>
        <w:rPr>
          <w:rStyle w:val="num"/>
        </w:rPr>
        <w:t>(3)</w:t>
      </w:r>
      <w:r>
        <w:rPr>
          <w:rStyle w:val="heading"/>
        </w:rPr>
        <w:t xml:space="preserve"> </w:t>
      </w:r>
      <w:r w:rsidRPr="001159D3">
        <w:rPr>
          <w:rStyle w:val="heading"/>
          <w:i/>
        </w:rPr>
        <w:t>Regulations</w:t>
      </w:r>
      <w:r w:rsidRPr="001159D3">
        <w:rPr>
          <w:i/>
        </w:rPr>
        <w:t xml:space="preserve"> </w:t>
      </w:r>
    </w:p>
    <w:p w:rsidR="004D5F91" w:rsidRDefault="004D5F91" w:rsidP="001159D3">
      <w:pPr>
        <w:pStyle w:val="NormalWeb"/>
        <w:ind w:left="720"/>
      </w:pPr>
      <w:r>
        <w:t xml:space="preserve">The Secretary is authorized to require </w:t>
      </w:r>
      <w:r w:rsidRPr="00E656A8">
        <w:rPr>
          <w:b/>
        </w:rPr>
        <w:t>such information as the Secretary determines to be necessary</w:t>
      </w:r>
      <w:r>
        <w:t xml:space="preserve"> to carry out the provisions of this sub</w:t>
      </w:r>
      <w:r w:rsidR="008D5466">
        <w:t>s</w:t>
      </w:r>
      <w:r w:rsidR="000F192E">
        <w:t>ection</w:t>
      </w:r>
      <w:r>
        <w:t>.</w:t>
      </w:r>
    </w:p>
    <w:p w:rsidR="008D5466" w:rsidRDefault="00A52A65" w:rsidP="008D5466">
      <w:pPr>
        <w:pStyle w:val="Heading3"/>
      </w:pPr>
      <w:bookmarkStart w:id="94" w:name="_Toc449442007"/>
      <w:r>
        <w:t>BASIC OBSERVATIONS ON SECTION 385</w:t>
      </w:r>
      <w:bookmarkEnd w:id="94"/>
    </w:p>
    <w:p w:rsidR="00A52A65" w:rsidRDefault="00A52A65" w:rsidP="008005F5">
      <w:r>
        <w:t xml:space="preserve">Prior to the issuance of these regulations, there were no regulations under Section 385.  Regulations had been issued in the 1980s, but they were withdrawn.  </w:t>
      </w:r>
    </w:p>
    <w:p w:rsidR="00A52A65" w:rsidRDefault="00A52A65" w:rsidP="008005F5"/>
    <w:p w:rsidR="00A87CC1" w:rsidRDefault="000F192E" w:rsidP="008005F5">
      <w:r>
        <w:t>Note that Section</w:t>
      </w:r>
      <w:r w:rsidR="001159D3">
        <w:t xml:space="preserve"> 385(a)</w:t>
      </w:r>
      <w:r w:rsidR="0022703C">
        <w:t xml:space="preserve"> </w:t>
      </w:r>
      <w:r w:rsidR="00004CF3">
        <w:t xml:space="preserve">specifically </w:t>
      </w:r>
      <w:r w:rsidR="0022703C">
        <w:t xml:space="preserve">grants the Treasury </w:t>
      </w:r>
      <w:r w:rsidR="003027C5">
        <w:t xml:space="preserve">broad </w:t>
      </w:r>
      <w:r w:rsidR="0022703C">
        <w:t>authority to</w:t>
      </w:r>
      <w:r w:rsidR="00A87CC1">
        <w:t>:</w:t>
      </w:r>
    </w:p>
    <w:p w:rsidR="00A87CC1" w:rsidRDefault="00A87CC1" w:rsidP="008005F5"/>
    <w:p w:rsidR="00A87CC1" w:rsidRDefault="003027C5" w:rsidP="00A87CC1">
      <w:pPr>
        <w:ind w:left="720"/>
        <w:rPr>
          <w:b/>
        </w:rPr>
      </w:pPr>
      <w:r>
        <w:t xml:space="preserve">(1) </w:t>
      </w:r>
      <w:proofErr w:type="gramStart"/>
      <w:r w:rsidR="00550638">
        <w:t>issue</w:t>
      </w:r>
      <w:proofErr w:type="gramEnd"/>
      <w:r w:rsidR="00550638">
        <w:t xml:space="preserve"> </w:t>
      </w:r>
      <w:r>
        <w:t>debt-equity regulations</w:t>
      </w:r>
      <w:r w:rsidR="0022703C">
        <w:t xml:space="preserve"> that “</w:t>
      </w:r>
      <w:r w:rsidR="0022703C" w:rsidRPr="00E416AD">
        <w:rPr>
          <w:b/>
        </w:rPr>
        <w:t>may be necessary or appropriate</w:t>
      </w:r>
      <w:r w:rsidR="00550638">
        <w:rPr>
          <w:b/>
        </w:rPr>
        <w:t>;</w:t>
      </w:r>
      <w:r>
        <w:rPr>
          <w:b/>
        </w:rPr>
        <w:t xml:space="preserve">” </w:t>
      </w:r>
    </w:p>
    <w:p w:rsidR="00104CC2" w:rsidRDefault="003027C5" w:rsidP="00A87CC1">
      <w:pPr>
        <w:ind w:left="720"/>
      </w:pPr>
      <w:r w:rsidRPr="00A87CC1">
        <w:t>(2)</w:t>
      </w:r>
      <w:r>
        <w:rPr>
          <w:b/>
        </w:rPr>
        <w:t xml:space="preserve"> </w:t>
      </w:r>
      <w:proofErr w:type="gramStart"/>
      <w:r w:rsidR="00004CF3" w:rsidRPr="00A87CC1">
        <w:t>treat</w:t>
      </w:r>
      <w:proofErr w:type="gramEnd"/>
      <w:r w:rsidR="00004CF3" w:rsidRPr="00A87CC1">
        <w:t xml:space="preserve"> instruments as</w:t>
      </w:r>
      <w:r w:rsidR="00004CF3">
        <w:rPr>
          <w:b/>
        </w:rPr>
        <w:t xml:space="preserve"> “</w:t>
      </w:r>
      <w:r w:rsidR="00004CF3" w:rsidRPr="00E416AD">
        <w:rPr>
          <w:b/>
        </w:rPr>
        <w:t>in part stock and in part indebtedness</w:t>
      </w:r>
      <w:r w:rsidR="00004CF3">
        <w:rPr>
          <w:b/>
        </w:rPr>
        <w:t xml:space="preserve">,” </w:t>
      </w:r>
      <w:r w:rsidR="00004CF3" w:rsidRPr="00A87CC1">
        <w:t>which is one of the approaches taken in the</w:t>
      </w:r>
      <w:r w:rsidR="00550638" w:rsidRPr="00A87CC1">
        <w:t xml:space="preserve">se proposed regulations, and </w:t>
      </w:r>
    </w:p>
    <w:p w:rsidR="00ED50CF" w:rsidRDefault="00550638" w:rsidP="00A87CC1">
      <w:pPr>
        <w:ind w:left="720"/>
      </w:pPr>
      <w:r w:rsidRPr="00A87CC1">
        <w:t xml:space="preserve">(3) </w:t>
      </w:r>
      <w:proofErr w:type="gramStart"/>
      <w:r w:rsidRPr="00A87CC1">
        <w:t>require</w:t>
      </w:r>
      <w:proofErr w:type="gramEnd"/>
      <w:r>
        <w:rPr>
          <w:b/>
        </w:rPr>
        <w:t xml:space="preserve"> </w:t>
      </w:r>
      <w:r w:rsidR="00E656A8">
        <w:rPr>
          <w:b/>
        </w:rPr>
        <w:t>“</w:t>
      </w:r>
      <w:r>
        <w:rPr>
          <w:b/>
        </w:rPr>
        <w:t>such</w:t>
      </w:r>
      <w:r w:rsidR="00E656A8">
        <w:rPr>
          <w:b/>
        </w:rPr>
        <w:t xml:space="preserve"> </w:t>
      </w:r>
      <w:r w:rsidR="00E656A8" w:rsidRPr="00E656A8">
        <w:rPr>
          <w:b/>
        </w:rPr>
        <w:t>information as the Secretary determines to be necessary</w:t>
      </w:r>
      <w:r w:rsidR="00E656A8">
        <w:rPr>
          <w:b/>
        </w:rPr>
        <w:t xml:space="preserve">,” </w:t>
      </w:r>
      <w:r w:rsidR="003C7162" w:rsidRPr="003C7162">
        <w:t>which is</w:t>
      </w:r>
      <w:r w:rsidR="003C7162">
        <w:rPr>
          <w:b/>
        </w:rPr>
        <w:t xml:space="preserve"> </w:t>
      </w:r>
      <w:r w:rsidR="003C7162">
        <w:t xml:space="preserve">the approach taken with the documentation requirement.  </w:t>
      </w:r>
      <w:r w:rsidR="00E656A8" w:rsidRPr="003C7162">
        <w:t xml:space="preserve"> </w:t>
      </w:r>
      <w:r w:rsidRPr="003C7162">
        <w:t xml:space="preserve"> </w:t>
      </w:r>
    </w:p>
    <w:p w:rsidR="00ED50CF" w:rsidRDefault="00ED50CF" w:rsidP="00A87CC1">
      <w:pPr>
        <w:ind w:left="720"/>
      </w:pPr>
    </w:p>
    <w:p w:rsidR="009A6076" w:rsidRDefault="00725D0A" w:rsidP="00ED50CF">
      <w:pPr>
        <w:rPr>
          <w:rStyle w:val="chapeau"/>
        </w:rPr>
      </w:pPr>
      <w:r>
        <w:t xml:space="preserve">Also, </w:t>
      </w:r>
      <w:r w:rsidR="000F192E">
        <w:t>Section</w:t>
      </w:r>
      <w:r>
        <w:t xml:space="preserve"> 385(b)</w:t>
      </w:r>
      <w:r w:rsidR="009A6867">
        <w:t xml:space="preserve"> provides: </w:t>
      </w:r>
      <w:r w:rsidR="00D85972">
        <w:t>“</w:t>
      </w:r>
      <w:r>
        <w:rPr>
          <w:rStyle w:val="chapeau"/>
        </w:rPr>
        <w:t xml:space="preserve">The regulations prescribed under this </w:t>
      </w:r>
      <w:r w:rsidR="000F192E">
        <w:rPr>
          <w:rStyle w:val="chapeau"/>
        </w:rPr>
        <w:t>Section</w:t>
      </w:r>
      <w:r>
        <w:rPr>
          <w:rStyle w:val="chapeau"/>
        </w:rPr>
        <w:t xml:space="preserve"> </w:t>
      </w:r>
      <w:r w:rsidRPr="00C24AD9">
        <w:rPr>
          <w:rStyle w:val="chapeau"/>
          <w:b/>
        </w:rPr>
        <w:t>shall set forth factors</w:t>
      </w:r>
      <w:r w:rsidR="009A6867">
        <w:rPr>
          <w:rStyle w:val="chapeau"/>
          <w:b/>
        </w:rPr>
        <w:t xml:space="preserve"> </w:t>
      </w:r>
      <w:r w:rsidR="009A6867">
        <w:rPr>
          <w:rStyle w:val="chapeau"/>
        </w:rPr>
        <w:t>which are to be taken into account in determining with respect to a particular factual situation whether a debtor-creditor relationship exists or a corporation-shareholder relationship exists.</w:t>
      </w:r>
      <w:r w:rsidR="00D85972">
        <w:rPr>
          <w:rStyle w:val="chapeau"/>
        </w:rPr>
        <w:t>”</w:t>
      </w:r>
      <w:r w:rsidR="00C224F2">
        <w:rPr>
          <w:rStyle w:val="chapeau"/>
        </w:rPr>
        <w:t xml:space="preserve">  </w:t>
      </w:r>
    </w:p>
    <w:p w:rsidR="009A6076" w:rsidRDefault="009A6076" w:rsidP="00ED50CF">
      <w:pPr>
        <w:rPr>
          <w:rStyle w:val="chapeau"/>
        </w:rPr>
      </w:pPr>
    </w:p>
    <w:p w:rsidR="00D85972" w:rsidRDefault="00E8552E" w:rsidP="00ED50CF">
      <w:pPr>
        <w:pStyle w:val="Heading3"/>
        <w:rPr>
          <w:rStyle w:val="chapeau"/>
        </w:rPr>
      </w:pPr>
      <w:bookmarkStart w:id="95" w:name="_Toc449442008"/>
      <w:r>
        <w:rPr>
          <w:rStyle w:val="chapeau"/>
        </w:rPr>
        <w:lastRenderedPageBreak/>
        <w:t>DOES THE TREASURY HAVE THE AUTHORITY TO ISSUE THE SECTION 385 REGULATIONS?</w:t>
      </w:r>
      <w:bookmarkEnd w:id="95"/>
    </w:p>
    <w:p w:rsidR="00672BC3" w:rsidRDefault="00ED50CF" w:rsidP="00ED50CF">
      <w:r>
        <w:t xml:space="preserve">While lawyers generally try to see </w:t>
      </w:r>
      <w:r w:rsidR="00373FE5">
        <w:t xml:space="preserve">both </w:t>
      </w:r>
      <w:r>
        <w:t xml:space="preserve">sides </w:t>
      </w:r>
      <w:r w:rsidR="00373FE5">
        <w:t xml:space="preserve">of a </w:t>
      </w:r>
      <w:r>
        <w:t>story</w:t>
      </w:r>
      <w:r w:rsidR="00373FE5">
        <w:t xml:space="preserve">, </w:t>
      </w:r>
      <w:r>
        <w:t xml:space="preserve">frankly, in view of the words of </w:t>
      </w:r>
      <w:r w:rsidR="000F192E">
        <w:t>Section</w:t>
      </w:r>
      <w:r>
        <w:t xml:space="preserve"> 385, I cannot see an argument that the Treasury does not have the authority to issue the 2016 </w:t>
      </w:r>
      <w:r w:rsidR="000F192E">
        <w:t>Section</w:t>
      </w:r>
      <w:r>
        <w:t xml:space="preserve"> 385 </w:t>
      </w:r>
      <w:proofErr w:type="spellStart"/>
      <w:r>
        <w:t>Regs</w:t>
      </w:r>
      <w:proofErr w:type="spellEnd"/>
      <w:r>
        <w:t>.</w:t>
      </w:r>
      <w:r w:rsidR="001F2BF3">
        <w:t xml:space="preserve">  A quick survey of some of the discussion of the authority </w:t>
      </w:r>
      <w:proofErr w:type="gramStart"/>
      <w:r w:rsidR="001F2BF3">
        <w:t>issue,</w:t>
      </w:r>
      <w:proofErr w:type="gramEnd"/>
      <w:r w:rsidR="001F2BF3">
        <w:t xml:space="preserve"> seems to </w:t>
      </w:r>
      <w:r w:rsidR="00530633">
        <w:t xml:space="preserve">show that most commentators </w:t>
      </w:r>
      <w:r w:rsidR="001F2BF3">
        <w:t xml:space="preserve">reach the same conclusion.  </w:t>
      </w:r>
      <w:r w:rsidR="00672BC3">
        <w:t>To start with Professor Steve Shay of the Harvard Law School, who was the first to</w:t>
      </w:r>
      <w:r w:rsidR="00D30013">
        <w:t xml:space="preserve"> urge the Treasury to </w:t>
      </w:r>
      <w:r w:rsidR="00672BC3">
        <w:t xml:space="preserve">use its authority under Section </w:t>
      </w:r>
      <w:proofErr w:type="gramStart"/>
      <w:r w:rsidR="00672BC3">
        <w:t>385</w:t>
      </w:r>
      <w:proofErr w:type="gramEnd"/>
      <w:r w:rsidR="00672BC3">
        <w:t xml:space="preserve"> says: </w:t>
      </w:r>
    </w:p>
    <w:p w:rsidR="00D30013" w:rsidRDefault="00D30013" w:rsidP="00ED50CF"/>
    <w:p w:rsidR="002F55A5" w:rsidRPr="00590245" w:rsidRDefault="002F55A5" w:rsidP="003401AD">
      <w:pPr>
        <w:ind w:left="720"/>
      </w:pPr>
      <w:r w:rsidRPr="00B00168">
        <w:t xml:space="preserve">Treasury should be commended for using its regulatory authority under section 385 to take action on earnings stripping. </w:t>
      </w:r>
      <w:r w:rsidR="00E63124" w:rsidRPr="00B00168">
        <w:t xml:space="preserve">[The] </w:t>
      </w:r>
      <w:r w:rsidRPr="00B00168">
        <w:t xml:space="preserve">proposed </w:t>
      </w:r>
      <w:proofErr w:type="spellStart"/>
      <w:r w:rsidRPr="00B00168">
        <w:t>regs</w:t>
      </w:r>
      <w:proofErr w:type="spellEnd"/>
      <w:r w:rsidRPr="00B00168">
        <w:t xml:space="preserve"> would target related-party financial leveraging transactions connected to foreign acquisitions of U.S. companies that go beyond inversions, </w:t>
      </w:r>
      <w:r w:rsidR="00E63124" w:rsidRPr="00B00168">
        <w:t xml:space="preserve">[and he added] </w:t>
      </w:r>
      <w:r w:rsidRPr="00B00168">
        <w:t>that "the debt reclassification as equity is aimed at cases where the new 'debt' would not result in increased real investment in the United States."</w:t>
      </w:r>
      <w:r w:rsidR="007B7706" w:rsidRPr="00B00168">
        <w:t xml:space="preserve">  . . . </w:t>
      </w:r>
      <w:r w:rsidRPr="00B00168">
        <w:br/>
        <w:t> </w:t>
      </w:r>
      <w:r w:rsidRPr="00B00168">
        <w:br/>
      </w:r>
      <w:r w:rsidR="007B7706" w:rsidRPr="00B00168">
        <w:t>[T]</w:t>
      </w:r>
      <w:proofErr w:type="gramStart"/>
      <w:r w:rsidRPr="00B00168">
        <w:t>he</w:t>
      </w:r>
      <w:proofErr w:type="gramEnd"/>
      <w:r w:rsidRPr="00B00168">
        <w:t xml:space="preserve"> important thing is that Treasury has acted. "Even if after a close read there's more to be done, the fact that they have moved in that area, they have applied section 385, that's just a big move</w:t>
      </w:r>
      <w:r w:rsidR="003401AD" w:rsidRPr="00B00168">
        <w:t>[,]</w:t>
      </w:r>
      <w:r w:rsidRPr="00B00168">
        <w:t>"</w:t>
      </w:r>
      <w:r w:rsidR="00CB1CA8" w:rsidRPr="00B00168">
        <w:rPr>
          <w:rStyle w:val="FootnoteReference"/>
        </w:rPr>
        <w:footnoteReference w:id="24"/>
      </w:r>
      <w:r w:rsidRPr="00B00168">
        <w:t xml:space="preserve"> </w:t>
      </w:r>
    </w:p>
    <w:p w:rsidR="00D30013" w:rsidRDefault="00D30013" w:rsidP="00ED50CF"/>
    <w:p w:rsidR="00A63479" w:rsidRPr="0089016F" w:rsidRDefault="00BD7187" w:rsidP="009A6076">
      <w:r w:rsidRPr="0089016F">
        <w:t xml:space="preserve">And </w:t>
      </w:r>
      <w:r w:rsidR="00D871AB" w:rsidRPr="0089016F">
        <w:t xml:space="preserve">reporting on </w:t>
      </w:r>
      <w:r w:rsidR="00A63479" w:rsidRPr="0089016F">
        <w:t xml:space="preserve">the </w:t>
      </w:r>
      <w:r w:rsidR="00D871AB" w:rsidRPr="0089016F">
        <w:t>annual KPMG LLP international tax conference at New York University School of Law</w:t>
      </w:r>
      <w:r w:rsidR="00A63479" w:rsidRPr="0089016F">
        <w:t>, Lee Sheppard</w:t>
      </w:r>
      <w:r w:rsidR="00B00168">
        <w:t xml:space="preserve"> of Tax Notes</w:t>
      </w:r>
      <w:r w:rsidR="00A63479" w:rsidRPr="0089016F">
        <w:t xml:space="preserve">, says: </w:t>
      </w:r>
    </w:p>
    <w:p w:rsidR="00A63479" w:rsidRPr="0089016F" w:rsidRDefault="00A63479" w:rsidP="009A6076"/>
    <w:p w:rsidR="00B51C53" w:rsidRDefault="00A63479" w:rsidP="00C3442F">
      <w:pPr>
        <w:ind w:left="720"/>
        <w:rPr>
          <w:rStyle w:val="chapeau"/>
        </w:rPr>
      </w:pPr>
      <w:r w:rsidRPr="0089016F">
        <w:t xml:space="preserve">There was general agreement that </w:t>
      </w:r>
      <w:r w:rsidR="000F192E">
        <w:t>Section</w:t>
      </w:r>
      <w:r w:rsidRPr="0089016F">
        <w:t xml:space="preserve"> 385 grants broad authority to make the proposed rules. "It's broad enough to justify where they are going," said </w:t>
      </w:r>
      <w:r w:rsidR="00C3442F" w:rsidRPr="0089016F">
        <w:t xml:space="preserve">[David] </w:t>
      </w:r>
      <w:r w:rsidRPr="0089016F">
        <w:t>Rosenbloom</w:t>
      </w:r>
      <w:r w:rsidR="00C3442F" w:rsidRPr="0089016F">
        <w:t xml:space="preserve"> [</w:t>
      </w:r>
      <w:r w:rsidR="00C34203" w:rsidRPr="0089016F">
        <w:t xml:space="preserve">of </w:t>
      </w:r>
      <w:proofErr w:type="spellStart"/>
      <w:r w:rsidR="00C34203" w:rsidRPr="0089016F">
        <w:t>Caplin</w:t>
      </w:r>
      <w:proofErr w:type="spellEnd"/>
      <w:r w:rsidR="00C34203" w:rsidRPr="0089016F">
        <w:t xml:space="preserve"> &amp; Drysdale and a former International Tax Counsel]</w:t>
      </w:r>
      <w:r w:rsidRPr="0089016F">
        <w:t>, who would go further. "I basically don't think there is such a thing as related-party debt. Debt requires friction and countervailing interests on both sides." He noted that U.S. law has been "way too generous" to foreign-parented companies, which are not audited by the IRS unless they are banks.</w:t>
      </w:r>
      <w:r w:rsidR="00B51C53" w:rsidRPr="0089016F">
        <w:rPr>
          <w:rStyle w:val="FootnoteReference"/>
        </w:rPr>
        <w:footnoteReference w:id="25"/>
      </w:r>
    </w:p>
    <w:p w:rsidR="00BD7187" w:rsidRDefault="00BD7187" w:rsidP="009A6076">
      <w:pPr>
        <w:rPr>
          <w:rStyle w:val="chapeau"/>
        </w:rPr>
      </w:pPr>
    </w:p>
    <w:p w:rsidR="00B6207A" w:rsidRDefault="00B6207A" w:rsidP="00B6207A">
      <w:r>
        <w:t xml:space="preserve">Jack Cummings of Alston &amp; Bird </w:t>
      </w:r>
      <w:proofErr w:type="gramStart"/>
      <w:r>
        <w:t>LLP,</w:t>
      </w:r>
      <w:proofErr w:type="gramEnd"/>
      <w:r>
        <w:t xml:space="preserve"> is reported to have said: </w:t>
      </w:r>
    </w:p>
    <w:p w:rsidR="00B6207A" w:rsidRDefault="00B6207A" w:rsidP="00B6207A">
      <w:pPr>
        <w:ind w:left="720"/>
      </w:pPr>
      <w:r>
        <w:t> </w:t>
      </w:r>
      <w:r>
        <w:br/>
        <w:t xml:space="preserve">Treasury has finally taken out its meat cleaver, instead of trying to create delicate, finely balanced rules, and "definitely pushed the boundaries of its authority" regarding earnings stripping through interest deduction provisions. </w:t>
      </w:r>
      <w:proofErr w:type="gramStart"/>
      <w:r>
        <w:t>However, . . .</w:t>
      </w:r>
      <w:proofErr w:type="gramEnd"/>
      <w:r>
        <w:t xml:space="preserve"> if faced with a legal challenge, the </w:t>
      </w:r>
      <w:proofErr w:type="spellStart"/>
      <w:r>
        <w:t>regs</w:t>
      </w:r>
      <w:proofErr w:type="spellEnd"/>
      <w:r>
        <w:t xml:space="preserve"> would likely be sustained.</w:t>
      </w:r>
      <w:r>
        <w:rPr>
          <w:rStyle w:val="FootnoteReference"/>
        </w:rPr>
        <w:footnoteReference w:id="26"/>
      </w:r>
    </w:p>
    <w:p w:rsidR="00B6207A" w:rsidRDefault="00B6207A" w:rsidP="009A6076">
      <w:pPr>
        <w:rPr>
          <w:rStyle w:val="chapeau"/>
        </w:rPr>
      </w:pPr>
    </w:p>
    <w:p w:rsidR="009A6076" w:rsidRPr="00A10DE1" w:rsidRDefault="00B6207A" w:rsidP="009A6076">
      <w:pPr>
        <w:rPr>
          <w:rStyle w:val="chapeau"/>
        </w:rPr>
      </w:pPr>
      <w:r>
        <w:rPr>
          <w:rStyle w:val="chapeau"/>
        </w:rPr>
        <w:t>On the other hand, i</w:t>
      </w:r>
      <w:r w:rsidR="009A6076">
        <w:rPr>
          <w:rStyle w:val="chapeau"/>
        </w:rPr>
        <w:t xml:space="preserve">n criticizing the regulations as being beyond the Treasury’s authority, </w:t>
      </w:r>
      <w:r w:rsidR="00B03234" w:rsidRPr="00B03234">
        <w:t xml:space="preserve">Scott </w:t>
      </w:r>
      <w:proofErr w:type="spellStart"/>
      <w:r w:rsidR="00B03234" w:rsidRPr="00A10DE1">
        <w:t>Semer</w:t>
      </w:r>
      <w:proofErr w:type="spellEnd"/>
      <w:r w:rsidR="00A10DE1" w:rsidRPr="00A10DE1">
        <w:t xml:space="preserve"> of </w:t>
      </w:r>
      <w:proofErr w:type="spellStart"/>
      <w:r w:rsidR="00A10DE1" w:rsidRPr="00A10DE1">
        <w:rPr>
          <w:iCs/>
        </w:rPr>
        <w:t>Torys</w:t>
      </w:r>
      <w:proofErr w:type="spellEnd"/>
      <w:r w:rsidR="009A6076" w:rsidRPr="00A10DE1">
        <w:rPr>
          <w:rStyle w:val="chapeau"/>
        </w:rPr>
        <w:t xml:space="preserve">, in referring to this “shall set forth factors” language, argued: </w:t>
      </w:r>
    </w:p>
    <w:p w:rsidR="009A6076" w:rsidRDefault="009A6076" w:rsidP="009A6076">
      <w:pPr>
        <w:rPr>
          <w:rStyle w:val="chapeau"/>
        </w:rPr>
      </w:pPr>
    </w:p>
    <w:p w:rsidR="009A6076" w:rsidRDefault="009A6076" w:rsidP="009A6076">
      <w:pPr>
        <w:spacing w:after="45"/>
        <w:ind w:left="720"/>
      </w:pPr>
      <w:r>
        <w:t xml:space="preserve">Rather than provide a safe harbor or follow the clear congressional directive in </w:t>
      </w:r>
      <w:r w:rsidR="000F192E">
        <w:t>Section</w:t>
      </w:r>
      <w:r>
        <w:t xml:space="preserve"> 385(b) to “set forth factors” that are to be taken into account in determining whether a debtor-creditor relationship exists, the regulations instead impose a fairly onerous set of record-keeping requirements that are necessary, at a minimum, for an instrument to be treated as debt.</w:t>
      </w:r>
      <w:r>
        <w:rPr>
          <w:rStyle w:val="FootnoteReference"/>
        </w:rPr>
        <w:footnoteReference w:id="27"/>
      </w:r>
    </w:p>
    <w:p w:rsidR="00672369" w:rsidRDefault="00147E48" w:rsidP="00ED50CF">
      <w:r>
        <w:t xml:space="preserve">By directing the Treasury to “set forth factors” does not prevent the Treasury from focusing on one factor where appropriate. </w:t>
      </w:r>
    </w:p>
    <w:p w:rsidR="00672369" w:rsidRDefault="00672369" w:rsidP="00ED50CF"/>
    <w:p w:rsidR="008005F5" w:rsidRPr="00F651C3" w:rsidRDefault="00672369" w:rsidP="00ED50CF">
      <w:r>
        <w:t>Finally, in an April 18,</w:t>
      </w:r>
      <w:r w:rsidR="00640415">
        <w:t xml:space="preserve"> </w:t>
      </w:r>
      <w:r>
        <w:t>2016 letter to the Secretary of the Treasury</w:t>
      </w:r>
      <w:r w:rsidR="00640415">
        <w:t xml:space="preserve">, </w:t>
      </w:r>
      <w:r>
        <w:t>a “bipartisan group of former Treasury officials</w:t>
      </w:r>
      <w:r w:rsidR="00640415">
        <w:t>,</w:t>
      </w:r>
      <w:r>
        <w:t>” led by former</w:t>
      </w:r>
      <w:r w:rsidR="00640415">
        <w:t xml:space="preserve"> Secretary George P. Shultz,</w:t>
      </w:r>
      <w:r w:rsidR="00A31168">
        <w:t xml:space="preserve"> urged Secretary Lew to “reconsider” the release of the inversion and Section 385 regulations.  </w:t>
      </w:r>
      <w:r w:rsidR="00A23D8D">
        <w:t>While they argue that the remedy to inversions is not to erect “higher barriers,” the letter does not</w:t>
      </w:r>
      <w:r w:rsidR="001F306E">
        <w:t xml:space="preserve"> in any way </w:t>
      </w:r>
      <w:r w:rsidR="0024507C">
        <w:t>argue t</w:t>
      </w:r>
      <w:r w:rsidR="001F306E">
        <w:t xml:space="preserve">hat the </w:t>
      </w:r>
      <w:proofErr w:type="spellStart"/>
      <w:r w:rsidR="001F306E">
        <w:t>Treasrury</w:t>
      </w:r>
      <w:proofErr w:type="spellEnd"/>
      <w:r w:rsidR="001F306E">
        <w:t xml:space="preserve"> does not have the authority to take the action it has taken.  I</w:t>
      </w:r>
      <w:r w:rsidR="0024507C">
        <w:t>t</w:t>
      </w:r>
      <w:r w:rsidR="001F306E">
        <w:t xml:space="preserve"> would appear that if there were a credible argument that the Treasury does not have the authority, this bipartisan group would have made it.  </w:t>
      </w:r>
      <w:r w:rsidR="00147E48">
        <w:t xml:space="preserve"> </w:t>
      </w:r>
      <w:r w:rsidR="00ED50CF">
        <w:t xml:space="preserve">  </w:t>
      </w:r>
      <w:r w:rsidR="008005F5">
        <w:t xml:space="preserve">        </w:t>
      </w:r>
    </w:p>
    <w:p w:rsidR="00A66C36" w:rsidRDefault="00D079A5" w:rsidP="00B34C4A">
      <w:pPr>
        <w:pStyle w:val="Heading2"/>
      </w:pPr>
      <w:bookmarkStart w:id="96" w:name="_Toc449442009"/>
      <w:r>
        <w:t xml:space="preserve">INTRODUCTION TO THE 2016 </w:t>
      </w:r>
      <w:r w:rsidRPr="004F5C81">
        <w:t>TREATMENT OF CERTAIN INTEREST IN CORPORATIONS AS STOCK OR INDEBTEDNESS</w:t>
      </w:r>
      <w:r>
        <w:t xml:space="preserve"> REGULATIONS</w:t>
      </w:r>
      <w:bookmarkEnd w:id="96"/>
    </w:p>
    <w:bookmarkEnd w:id="2"/>
    <w:p w:rsidR="00991089" w:rsidRDefault="00991089" w:rsidP="00991089">
      <w:r w:rsidRPr="00CE5FB0">
        <w:t xml:space="preserve">The Summary of the </w:t>
      </w:r>
      <w:r>
        <w:t xml:space="preserve">2016 </w:t>
      </w:r>
      <w:r w:rsidR="000F192E">
        <w:t>Section</w:t>
      </w:r>
      <w:r>
        <w:t xml:space="preserve"> 385 </w:t>
      </w:r>
      <w:proofErr w:type="spellStart"/>
      <w:r>
        <w:t>Regs</w:t>
      </w:r>
      <w:proofErr w:type="spellEnd"/>
      <w:r>
        <w:t xml:space="preserve"> gives the following guidance on the scope of the regulations: </w:t>
      </w:r>
    </w:p>
    <w:p w:rsidR="00991089" w:rsidRDefault="00991089" w:rsidP="00D57736">
      <w:pPr>
        <w:rPr>
          <w:b/>
        </w:rPr>
      </w:pPr>
    </w:p>
    <w:p w:rsidR="007711BD" w:rsidRDefault="007711BD" w:rsidP="00BA732F">
      <w:pPr>
        <w:ind w:left="720"/>
      </w:pPr>
      <w:r w:rsidRPr="007711BD">
        <w:t xml:space="preserve">SUMMARY: This document contains proposed regulations under </w:t>
      </w:r>
      <w:r w:rsidR="000F192E">
        <w:t>Section</w:t>
      </w:r>
      <w:r w:rsidRPr="007711BD">
        <w:t xml:space="preserve"> 385 of the</w:t>
      </w:r>
      <w:r>
        <w:t xml:space="preserve"> </w:t>
      </w:r>
      <w:r w:rsidRPr="007711BD">
        <w:t>Internal Revenue Code (Code) that would authorize the Commissioner to treat certain</w:t>
      </w:r>
      <w:r>
        <w:t xml:space="preserve"> </w:t>
      </w:r>
      <w:r w:rsidRPr="007711BD">
        <w:t>related-party interests in a corporation as indebtedness in part and stock in part for</w:t>
      </w:r>
      <w:r>
        <w:t xml:space="preserve"> </w:t>
      </w:r>
      <w:r w:rsidRPr="007711BD">
        <w:t>federal tax purposes, and establish threshold documentation requirements that must be</w:t>
      </w:r>
      <w:r>
        <w:t xml:space="preserve"> </w:t>
      </w:r>
      <w:r w:rsidRPr="007711BD">
        <w:t>satisfied in order for certain related-party interests in a corporation to be treated as</w:t>
      </w:r>
      <w:r>
        <w:t xml:space="preserve"> </w:t>
      </w:r>
      <w:r w:rsidRPr="007711BD">
        <w:t>indebtedness for federal tax purposes. The proposed regulations also would treat as</w:t>
      </w:r>
      <w:r>
        <w:t xml:space="preserve"> </w:t>
      </w:r>
      <w:r w:rsidRPr="007711BD">
        <w:t>stock certain related-party interests that otherwise would be treated as indebtedness for</w:t>
      </w:r>
      <w:r w:rsidR="00BA732F">
        <w:t xml:space="preserve"> </w:t>
      </w:r>
      <w:r w:rsidRPr="007711BD">
        <w:t>federal tax purposes. The proposed regulations generally affect corporations that issue</w:t>
      </w:r>
      <w:r w:rsidR="00BA732F">
        <w:t xml:space="preserve"> </w:t>
      </w:r>
      <w:r w:rsidRPr="007711BD">
        <w:t>purported indebtedness to related corporations or partnerships.</w:t>
      </w:r>
    </w:p>
    <w:p w:rsidR="00BA732F" w:rsidRDefault="00BA732F" w:rsidP="00BA732F">
      <w:pPr>
        <w:ind w:left="720"/>
      </w:pPr>
    </w:p>
    <w:p w:rsidR="00BA732F" w:rsidRDefault="00E13F36" w:rsidP="00BA732F">
      <w:r>
        <w:t>Although</w:t>
      </w:r>
      <w:r w:rsidR="00FD3BA6">
        <w:t xml:space="preserve"> the effective date provisions of these </w:t>
      </w:r>
      <w:r w:rsidR="00D967B8">
        <w:t xml:space="preserve">2016 </w:t>
      </w:r>
      <w:r w:rsidR="000F192E">
        <w:t>Section</w:t>
      </w:r>
      <w:r w:rsidR="00D967B8">
        <w:t xml:space="preserve"> 385 </w:t>
      </w:r>
      <w:proofErr w:type="spellStart"/>
      <w:r w:rsidR="00D967B8">
        <w:t>Regs</w:t>
      </w:r>
      <w:proofErr w:type="spellEnd"/>
      <w:r w:rsidR="00D967B8">
        <w:t xml:space="preserve"> is</w:t>
      </w:r>
      <w:r>
        <w:t xml:space="preserve"> complex, as a general matter the document requirement provisions are</w:t>
      </w:r>
      <w:r w:rsidR="00D967B8">
        <w:t xml:space="preserve"> not effective until the final regulations become effective, but the other provisions of the regulations are generally effective on the date the regulations were</w:t>
      </w:r>
      <w:r w:rsidR="00304EE8">
        <w:t xml:space="preserve"> published in the Federal Register, </w:t>
      </w:r>
      <w:r w:rsidR="00D967B8">
        <w:t>that is</w:t>
      </w:r>
      <w:r w:rsidR="00EE7E4D">
        <w:t>.</w:t>
      </w:r>
      <w:r w:rsidR="00D967B8">
        <w:t xml:space="preserve"> </w:t>
      </w:r>
      <w:r w:rsidR="006E4324">
        <w:t>April 4</w:t>
      </w:r>
      <w:r w:rsidR="00D967B8">
        <w:t xml:space="preserve">, 2016.  </w:t>
      </w:r>
    </w:p>
    <w:p w:rsidR="00FD3BA6" w:rsidRDefault="00FD3BA6" w:rsidP="00BA732F"/>
    <w:p w:rsidR="007F1B29" w:rsidRDefault="00EE7E4D" w:rsidP="00FD3BA6">
      <w:r>
        <w:t xml:space="preserve">The </w:t>
      </w:r>
      <w:r w:rsidR="00155A3B">
        <w:t xml:space="preserve">following is a summary of the </w:t>
      </w:r>
      <w:r w:rsidR="000F192E">
        <w:t>Section</w:t>
      </w:r>
      <w:r w:rsidR="00155A3B">
        <w:t xml:space="preserve">s of these proposed </w:t>
      </w:r>
      <w:r>
        <w:t>regulations</w:t>
      </w:r>
      <w:r w:rsidR="007F1B29">
        <w:t>:</w:t>
      </w:r>
    </w:p>
    <w:p w:rsidR="007F1B29" w:rsidRDefault="007F1B29" w:rsidP="00FD3BA6"/>
    <w:p w:rsidR="007F1B29" w:rsidRPr="00862FC5" w:rsidRDefault="007F1B29" w:rsidP="00DD54AA">
      <w:pPr>
        <w:pStyle w:val="ListParagraph"/>
        <w:numPr>
          <w:ilvl w:val="0"/>
          <w:numId w:val="5"/>
        </w:numPr>
      </w:pPr>
      <w:r w:rsidRPr="00862FC5">
        <w:t>§1.385-1 General provisions;</w:t>
      </w:r>
    </w:p>
    <w:p w:rsidR="0002222E" w:rsidRPr="00862FC5" w:rsidRDefault="00240D19" w:rsidP="00DD54AA">
      <w:pPr>
        <w:pStyle w:val="ListParagraph"/>
        <w:numPr>
          <w:ilvl w:val="0"/>
          <w:numId w:val="5"/>
        </w:numPr>
      </w:pPr>
      <w:r w:rsidRPr="00862FC5">
        <w:t>§1.385-2 Treatment of certain interests between members of an expanded group;</w:t>
      </w:r>
    </w:p>
    <w:p w:rsidR="002B76DF" w:rsidRPr="00862FC5" w:rsidRDefault="0002222E" w:rsidP="00DD54AA">
      <w:pPr>
        <w:pStyle w:val="ListParagraph"/>
        <w:numPr>
          <w:ilvl w:val="0"/>
          <w:numId w:val="5"/>
        </w:numPr>
      </w:pPr>
      <w:r w:rsidRPr="00862FC5">
        <w:t>§1.385-3 Certain distributions of debt instruments and similar transactions</w:t>
      </w:r>
      <w:r w:rsidR="00862FC5" w:rsidRPr="00862FC5">
        <w:t xml:space="preserve">; and </w:t>
      </w:r>
    </w:p>
    <w:p w:rsidR="002B76DF" w:rsidRPr="00862FC5" w:rsidRDefault="002B76DF" w:rsidP="00DD54AA">
      <w:pPr>
        <w:pStyle w:val="ListParagraph"/>
        <w:numPr>
          <w:ilvl w:val="0"/>
          <w:numId w:val="5"/>
        </w:numPr>
      </w:pPr>
      <w:r w:rsidRPr="00862FC5">
        <w:t>§1.385-4 Treatment of consolidated groups;</w:t>
      </w:r>
      <w:r w:rsidR="00862FC5" w:rsidRPr="00862FC5">
        <w:t xml:space="preserve"> and </w:t>
      </w:r>
    </w:p>
    <w:p w:rsidR="007F1B29" w:rsidRPr="00862FC5" w:rsidRDefault="007F1B29" w:rsidP="00862FC5">
      <w:pPr>
        <w:pStyle w:val="ListParagraph"/>
      </w:pPr>
    </w:p>
    <w:p w:rsidR="00FD3BA6" w:rsidRDefault="00B30425" w:rsidP="00FD3BA6">
      <w:r>
        <w:t>T</w:t>
      </w:r>
      <w:r w:rsidR="00FD3BA6">
        <w:t xml:space="preserve">his </w:t>
      </w:r>
      <w:r w:rsidR="000F192E">
        <w:t>Section</w:t>
      </w:r>
      <w:r w:rsidR="00FD3BA6">
        <w:t xml:space="preserve"> discusses these regulations in the order in which the particular </w:t>
      </w:r>
      <w:r w:rsidR="000F192E">
        <w:t>Section</w:t>
      </w:r>
      <w:r w:rsidR="00FD3BA6">
        <w:t xml:space="preserve">s of the regulations are discussed in the preamble to the regulations.  The preamble and the regulations run for over </w:t>
      </w:r>
      <w:r>
        <w:t>130</w:t>
      </w:r>
      <w:r w:rsidR="00FD3BA6">
        <w:t xml:space="preserve"> pages; therefore, this discussion merely touches on the basic principles with the purpose of alerting the reader to the issues.  </w:t>
      </w:r>
    </w:p>
    <w:p w:rsidR="00B425BA" w:rsidRDefault="004C7F01" w:rsidP="00B34C4A">
      <w:pPr>
        <w:pStyle w:val="Heading2"/>
      </w:pPr>
      <w:bookmarkStart w:id="97" w:name="_Toc449442010"/>
      <w:r>
        <w:t>OVERVIEW OF THE 2016 SECTION 385 REGS</w:t>
      </w:r>
      <w:bookmarkEnd w:id="97"/>
    </w:p>
    <w:p w:rsidR="00DD7907" w:rsidRDefault="00DD7907" w:rsidP="00B425BA">
      <w:r w:rsidRPr="00AD6990">
        <w:t xml:space="preserve">The preamble to the </w:t>
      </w:r>
      <w:r w:rsidR="00AD6990">
        <w:t xml:space="preserve">2016 </w:t>
      </w:r>
      <w:r w:rsidR="000F192E">
        <w:t>Section</w:t>
      </w:r>
      <w:r w:rsidR="00AD6990">
        <w:t xml:space="preserve"> 385 </w:t>
      </w:r>
      <w:proofErr w:type="spellStart"/>
      <w:r w:rsidR="00AD6990">
        <w:t>Regs</w:t>
      </w:r>
      <w:proofErr w:type="spellEnd"/>
      <w:r w:rsidR="00AD6990">
        <w:t xml:space="preserve"> gives the following “Overview” of these proposed regulations: </w:t>
      </w:r>
    </w:p>
    <w:p w:rsidR="00AD6990" w:rsidRDefault="00AD6990" w:rsidP="00B425BA"/>
    <w:p w:rsidR="00F30810" w:rsidRPr="00F30810" w:rsidRDefault="00F30810" w:rsidP="006E3B8F">
      <w:pPr>
        <w:ind w:left="720"/>
      </w:pPr>
      <w:r w:rsidRPr="00F30810">
        <w:t>I. Overview</w:t>
      </w:r>
    </w:p>
    <w:p w:rsidR="00AD6990" w:rsidRPr="00AD6990" w:rsidRDefault="00F30810" w:rsidP="006E3B8F">
      <w:pPr>
        <w:ind w:left="720"/>
      </w:pPr>
      <w:r w:rsidRPr="00F30810">
        <w:t>The proposed regulations provide guidance regarding substantiation of the</w:t>
      </w:r>
      <w:r>
        <w:t xml:space="preserve"> </w:t>
      </w:r>
      <w:r w:rsidRPr="00F30810">
        <w:t>treatment of certain interests issued between related parties as indebtedness for federal</w:t>
      </w:r>
      <w:r>
        <w:t xml:space="preserve"> </w:t>
      </w:r>
      <w:r w:rsidRPr="00F30810">
        <w:t>tax purposes, the treatment of certain interests in a corporation as in part indebtedness</w:t>
      </w:r>
      <w:r>
        <w:t xml:space="preserve"> </w:t>
      </w:r>
      <w:r w:rsidRPr="00F30810">
        <w:t>and in part stock, and the treatment of distributions of debt instruments and similar</w:t>
      </w:r>
      <w:r>
        <w:t xml:space="preserve"> </w:t>
      </w:r>
      <w:r w:rsidRPr="00F30810">
        <w:t>transactions that frequently have only limited non-tax effects. More specifically, the</w:t>
      </w:r>
      <w:r>
        <w:t xml:space="preserve"> </w:t>
      </w:r>
      <w:r w:rsidRPr="00F30810">
        <w:t xml:space="preserve">proposed regulations are set forth in four </w:t>
      </w:r>
      <w:r w:rsidR="000F192E">
        <w:t>Section</w:t>
      </w:r>
      <w:r w:rsidRPr="00F30810">
        <w:t>s. First,</w:t>
      </w:r>
      <w:r>
        <w:t xml:space="preserve"> </w:t>
      </w:r>
      <w:r w:rsidRPr="00F30810">
        <w:t>proposed §1.385-1 prescribes</w:t>
      </w:r>
      <w:r w:rsidR="0026231D">
        <w:t xml:space="preserve"> </w:t>
      </w:r>
      <w:r w:rsidRPr="00F30810">
        <w:t xml:space="preserve">definitions and operating rules applicable to the regulations under </w:t>
      </w:r>
      <w:r w:rsidR="000F192E">
        <w:t>Section</w:t>
      </w:r>
      <w:r w:rsidRPr="00F30810">
        <w:t xml:space="preserve"> 385 generally</w:t>
      </w:r>
      <w:r w:rsidR="0026231D">
        <w:t xml:space="preserve"> </w:t>
      </w:r>
      <w:r w:rsidRPr="00F30810">
        <w:t>including a rule treating members of a consolidated group, as defined in §1.1502-1(h),</w:t>
      </w:r>
      <w:r w:rsidR="0026231D">
        <w:t xml:space="preserve"> </w:t>
      </w:r>
      <w:r w:rsidRPr="00F30810">
        <w:t>as one corporation. Proposed §1.385-1(d) also provides that the Commissioner has the</w:t>
      </w:r>
      <w:r w:rsidR="0026231D">
        <w:t xml:space="preserve"> </w:t>
      </w:r>
      <w:r w:rsidRPr="00F30810">
        <w:t>discretion to treat certain interests in a corporation for federal tax purposes as</w:t>
      </w:r>
      <w:r w:rsidR="0026231D">
        <w:t xml:space="preserve"> </w:t>
      </w:r>
      <w:r w:rsidRPr="00F30810">
        <w:t>indebtedness in part and stock in part. Second, proposed §1.385-2 addresses the</w:t>
      </w:r>
      <w:r w:rsidR="0026231D">
        <w:t xml:space="preserve"> </w:t>
      </w:r>
      <w:r w:rsidRPr="00F30810">
        <w:t>documentation and information that taxpayers must prepare and maintain within</w:t>
      </w:r>
      <w:r w:rsidR="0026231D">
        <w:t xml:space="preserve"> </w:t>
      </w:r>
      <w:r w:rsidRPr="00F30810">
        <w:t>required timeframes to substantiate the treatment of an interest issued between related</w:t>
      </w:r>
      <w:r w:rsidR="00494E32">
        <w:t xml:space="preserve"> </w:t>
      </w:r>
      <w:r w:rsidRPr="00F30810">
        <w:t>parties as indebtedness for federal tax purposes. Such substantiation is necessary, but</w:t>
      </w:r>
      <w:r w:rsidR="00494E32">
        <w:t xml:space="preserve"> </w:t>
      </w:r>
      <w:r w:rsidRPr="00F30810">
        <w:t>not sufficient, for a purported debt interest that is within the scope of these rules to be</w:t>
      </w:r>
      <w:r w:rsidR="00494E32">
        <w:t xml:space="preserve"> </w:t>
      </w:r>
      <w:r w:rsidRPr="00F30810">
        <w:t>characterized as indebtedness; general federal income tax principles also apply in</w:t>
      </w:r>
      <w:r w:rsidR="00494E32">
        <w:t xml:space="preserve"> </w:t>
      </w:r>
      <w:r w:rsidRPr="00F30810">
        <w:t>making such a determination. Third, if the application of proposed §1.385-2 and</w:t>
      </w:r>
      <w:r w:rsidR="00DD31FD">
        <w:t xml:space="preserve"> </w:t>
      </w:r>
      <w:r w:rsidRPr="00F30810">
        <w:t>general federal income tax principles otherwise would result in treating an interest</w:t>
      </w:r>
      <w:r w:rsidR="00DD31FD">
        <w:t xml:space="preserve"> </w:t>
      </w:r>
      <w:r w:rsidRPr="00F30810">
        <w:t>issued to a related party as indebtedness for federal tax purposes, proposed §1.385-3</w:t>
      </w:r>
      <w:r w:rsidR="00DD31FD">
        <w:t xml:space="preserve"> </w:t>
      </w:r>
      <w:r w:rsidRPr="00F30810">
        <w:t>provides additional rules that may treat the interest, in whole or in part, as stock for</w:t>
      </w:r>
      <w:r w:rsidR="00DD31FD">
        <w:t xml:space="preserve"> </w:t>
      </w:r>
      <w:r w:rsidRPr="00F30810">
        <w:t>federal tax purposes if it is issued in a distribution or other transaction that is identified</w:t>
      </w:r>
      <w:r w:rsidR="00DD31FD">
        <w:t xml:space="preserve"> </w:t>
      </w:r>
      <w:r w:rsidRPr="00F30810">
        <w:t>as frequently having only limited non-tax</w:t>
      </w:r>
      <w:r w:rsidR="00DD31FD">
        <w:t xml:space="preserve"> </w:t>
      </w:r>
      <w:r w:rsidRPr="00F30810">
        <w:t>effect, or is issued to fund such a transaction.</w:t>
      </w:r>
      <w:r w:rsidR="006E3B8F">
        <w:t xml:space="preserve">  F</w:t>
      </w:r>
      <w:r w:rsidRPr="00F30810">
        <w:t>inally, proposed §1.385-4 provides operating rules for applying proposed §1.385-3 to</w:t>
      </w:r>
      <w:r w:rsidR="006E3B8F">
        <w:t xml:space="preserve"> </w:t>
      </w:r>
      <w:r w:rsidRPr="00F30810">
        <w:t>interests that cease to be between members of the same consolidated group or</w:t>
      </w:r>
      <w:r w:rsidR="006E3B8F">
        <w:t xml:space="preserve"> </w:t>
      </w:r>
      <w:r w:rsidRPr="00F30810">
        <w:t>interests that become interests between members of the same consolidated group.</w:t>
      </w:r>
      <w:r w:rsidR="006E3B8F">
        <w:rPr>
          <w:rStyle w:val="FootnoteReference"/>
        </w:rPr>
        <w:footnoteReference w:id="28"/>
      </w:r>
    </w:p>
    <w:p w:rsidR="00265406" w:rsidRPr="00DF56EB" w:rsidRDefault="004C7F01" w:rsidP="00B34C4A">
      <w:pPr>
        <w:pStyle w:val="Heading2"/>
      </w:pPr>
      <w:bookmarkStart w:id="98" w:name="_Toc449442011"/>
      <w:r w:rsidRPr="00DF56EB">
        <w:t>THE SUBSTANTIATION OF RELATED-PARTY INDEBTEDNESS REQUIREMENT</w:t>
      </w:r>
      <w:r>
        <w:t xml:space="preserve">, </w:t>
      </w:r>
      <w:r w:rsidRPr="00DF56EB">
        <w:t>PROPOSED</w:t>
      </w:r>
      <w:r>
        <w:t xml:space="preserve"> REG. </w:t>
      </w:r>
      <w:r w:rsidRPr="00DF56EB">
        <w:t xml:space="preserve"> §1.385-2</w:t>
      </w:r>
      <w:bookmarkEnd w:id="98"/>
    </w:p>
    <w:p w:rsidR="00265406" w:rsidRDefault="00DF56EB" w:rsidP="00265406">
      <w:r>
        <w:t xml:space="preserve">The preamble to the 2016 </w:t>
      </w:r>
      <w:r w:rsidR="000F192E">
        <w:t>Section</w:t>
      </w:r>
      <w:r>
        <w:t xml:space="preserve"> 385 </w:t>
      </w:r>
      <w:proofErr w:type="spellStart"/>
      <w:r>
        <w:t>Regs</w:t>
      </w:r>
      <w:proofErr w:type="spellEnd"/>
      <w:r>
        <w:t xml:space="preserve"> provides the following basic description of the substantiation requirement: </w:t>
      </w:r>
    </w:p>
    <w:p w:rsidR="00DF56EB" w:rsidRPr="00265406" w:rsidRDefault="00DF56EB" w:rsidP="00265406"/>
    <w:p w:rsidR="00265406" w:rsidRPr="00265406" w:rsidRDefault="00265406" w:rsidP="002107C8">
      <w:pPr>
        <w:ind w:left="720"/>
      </w:pPr>
      <w:r w:rsidRPr="00265406">
        <w:t>Proposed §1.385-2 reflects the importance of contemporaneous documentation</w:t>
      </w:r>
      <w:r w:rsidR="00DF56EB">
        <w:t xml:space="preserve"> </w:t>
      </w:r>
      <w:r w:rsidRPr="00265406">
        <w:t>in identifying the rights, obligations, and intent of the parties to an instrument that is</w:t>
      </w:r>
      <w:r w:rsidR="00617B6F">
        <w:t xml:space="preserve"> </w:t>
      </w:r>
      <w:r w:rsidRPr="00265406">
        <w:lastRenderedPageBreak/>
        <w:t>purported to be indebtedness for federal tax purposes. Such documentation is</w:t>
      </w:r>
      <w:r w:rsidR="00617B6F">
        <w:t xml:space="preserve"> </w:t>
      </w:r>
      <w:r w:rsidRPr="00265406">
        <w:t>particularly important to the analysis of instruments issued between related parties. In</w:t>
      </w:r>
      <w:r w:rsidR="00617B6F">
        <w:t xml:space="preserve"> </w:t>
      </w:r>
      <w:r w:rsidRPr="00265406">
        <w:t>recognition of this importance, the Treasury Department and the IRS are exercising</w:t>
      </w:r>
      <w:r w:rsidR="00617B6F">
        <w:t xml:space="preserve"> </w:t>
      </w:r>
      <w:r w:rsidRPr="00265406">
        <w:t xml:space="preserve">authority granted under </w:t>
      </w:r>
      <w:r w:rsidR="000F192E">
        <w:t>Section</w:t>
      </w:r>
      <w:r w:rsidRPr="00265406">
        <w:t xml:space="preserve"> 385(a) to treat the timely preparation and maintenance</w:t>
      </w:r>
      <w:r w:rsidR="00617B6F">
        <w:t xml:space="preserve"> </w:t>
      </w:r>
      <w:r w:rsidRPr="00265406">
        <w:t>of such documentation as necessary factors to be taken into account in determining</w:t>
      </w:r>
      <w:r w:rsidR="00617B6F">
        <w:t xml:space="preserve"> </w:t>
      </w:r>
      <w:r w:rsidRPr="00265406">
        <w:t>whether certain interests are properly characterized as stock or indebtedness.</w:t>
      </w:r>
    </w:p>
    <w:p w:rsidR="00265406" w:rsidRDefault="00265406" w:rsidP="002107C8">
      <w:pPr>
        <w:ind w:left="720"/>
      </w:pPr>
      <w:r w:rsidRPr="00265406">
        <w:t>Accordingly, the proposed regulations first prescribe the nature of the documentation</w:t>
      </w:r>
      <w:r w:rsidR="00E61C1A">
        <w:t xml:space="preserve"> </w:t>
      </w:r>
      <w:r w:rsidRPr="00265406">
        <w:t>necessary to substantiate the treatment of related-party instruments as indebtedness</w:t>
      </w:r>
      <w:r w:rsidR="00E61C1A">
        <w:t xml:space="preserve"> </w:t>
      </w:r>
      <w:r w:rsidRPr="00265406">
        <w:t>and, second, require that such documentation be timely prepared and maintained. The</w:t>
      </w:r>
      <w:r w:rsidR="00E61C1A">
        <w:t xml:space="preserve"> </w:t>
      </w:r>
      <w:r w:rsidRPr="00265406">
        <w:t>proposed regulations further provide that, if the specified documentation is not provided</w:t>
      </w:r>
      <w:r w:rsidR="00E61C1A">
        <w:t xml:space="preserve"> </w:t>
      </w:r>
      <w:r w:rsidRPr="00265406">
        <w:t>to the Commissioner upon request, the Commissioner will treat the preparation and</w:t>
      </w:r>
      <w:r w:rsidR="00E61C1A">
        <w:t xml:space="preserve"> </w:t>
      </w:r>
      <w:r w:rsidRPr="00265406">
        <w:t>maintenance requirements as not satisfied and will treat the instrument as stock for</w:t>
      </w:r>
      <w:r w:rsidR="00E61C1A">
        <w:t xml:space="preserve"> </w:t>
      </w:r>
      <w:r w:rsidRPr="00265406">
        <w:t>federal tax purposes. The type of stock (for example, common stock or preferred stock,</w:t>
      </w:r>
      <w:r w:rsidR="00E61C1A">
        <w:t xml:space="preserve"> </w:t>
      </w:r>
      <w:r w:rsidR="000F192E">
        <w:t>Section</w:t>
      </w:r>
      <w:r w:rsidRPr="00265406">
        <w:t xml:space="preserve"> 306 stock, stock described in </w:t>
      </w:r>
      <w:r w:rsidR="000F192E">
        <w:t>Section</w:t>
      </w:r>
      <w:r w:rsidRPr="00265406">
        <w:t xml:space="preserve"> 1504(a)(4)) that the instrument will be</w:t>
      </w:r>
      <w:r w:rsidR="00B441F6">
        <w:t xml:space="preserve"> </w:t>
      </w:r>
      <w:r w:rsidRPr="00265406">
        <w:t>treated as for federal tax purposes is determined by taking into account the terms of the</w:t>
      </w:r>
      <w:r w:rsidR="00B441F6">
        <w:t xml:space="preserve"> </w:t>
      </w:r>
      <w:r w:rsidRPr="00265406">
        <w:t>instrument (for example, voting and conversion rights and rights relating to dividends,</w:t>
      </w:r>
      <w:r w:rsidR="00B441F6">
        <w:t xml:space="preserve"> </w:t>
      </w:r>
      <w:r w:rsidRPr="00265406">
        <w:t>redemption, liquidation, and other distributions).</w:t>
      </w:r>
    </w:p>
    <w:p w:rsidR="00B441F6" w:rsidRPr="00265406" w:rsidRDefault="00B441F6" w:rsidP="002107C8">
      <w:pPr>
        <w:ind w:left="720"/>
      </w:pPr>
    </w:p>
    <w:p w:rsidR="00265406" w:rsidRDefault="00265406" w:rsidP="002107C8">
      <w:pPr>
        <w:ind w:left="720"/>
      </w:pPr>
      <w:r w:rsidRPr="00265406">
        <w:t>Satisfaction of the requirements of the proposed regulations does not establish</w:t>
      </w:r>
      <w:r w:rsidR="00B441F6">
        <w:t xml:space="preserve"> </w:t>
      </w:r>
      <w:r w:rsidRPr="00265406">
        <w:t>that a related-party instrument is indebtedness. Rather, satisfaction of the proposed</w:t>
      </w:r>
      <w:r w:rsidR="00B441F6">
        <w:t xml:space="preserve"> </w:t>
      </w:r>
      <w:r w:rsidRPr="00265406">
        <w:t>regulations acts as a threshold test for allowing the possibility of indebtedness treatment</w:t>
      </w:r>
      <w:r w:rsidR="00B441F6">
        <w:t xml:space="preserve"> </w:t>
      </w:r>
      <w:r w:rsidRPr="00265406">
        <w:t>after the determination of an instrument’s character is made under federal tax principles</w:t>
      </w:r>
      <w:r w:rsidR="00B441F6">
        <w:t xml:space="preserve"> </w:t>
      </w:r>
      <w:r w:rsidRPr="00265406">
        <w:t>developed under applicable case law. If the requirements of the proposed regulations</w:t>
      </w:r>
      <w:r w:rsidR="002107C8">
        <w:t xml:space="preserve"> </w:t>
      </w:r>
      <w:r w:rsidRPr="00265406">
        <w:t xml:space="preserve">are not satisfied, the purported indebtedness would be </w:t>
      </w:r>
      <w:proofErr w:type="spellStart"/>
      <w:r w:rsidRPr="00265406">
        <w:t>recharacterized</w:t>
      </w:r>
      <w:proofErr w:type="spellEnd"/>
      <w:r w:rsidRPr="00265406">
        <w:t xml:space="preserve"> as stock. In</w:t>
      </w:r>
      <w:r w:rsidR="002107C8">
        <w:t xml:space="preserve"> </w:t>
      </w:r>
      <w:r w:rsidRPr="00265406">
        <w:t>such a case, any federal tax benefit claimed by the taxpayer with respect to the</w:t>
      </w:r>
      <w:r w:rsidR="002107C8">
        <w:t xml:space="preserve"> </w:t>
      </w:r>
      <w:r w:rsidRPr="00265406">
        <w:t>treatment of the interest as indebtedness will be disallowed.</w:t>
      </w:r>
      <w:r w:rsidR="002107C8">
        <w:rPr>
          <w:rStyle w:val="FootnoteReference"/>
        </w:rPr>
        <w:footnoteReference w:id="29"/>
      </w:r>
    </w:p>
    <w:p w:rsidR="002107C8" w:rsidRDefault="002107C8" w:rsidP="00265406"/>
    <w:p w:rsidR="002107C8" w:rsidRDefault="003C5AB6" w:rsidP="00265406">
      <w:r>
        <w:t>As indicated</w:t>
      </w:r>
      <w:r w:rsidR="006F3933">
        <w:t xml:space="preserve"> above</w:t>
      </w:r>
      <w:r w:rsidR="00124B88">
        <w:t>,</w:t>
      </w:r>
      <w:r>
        <w:t xml:space="preserve"> this documentation requirement would not become effective </w:t>
      </w:r>
      <w:r w:rsidR="00FA2800">
        <w:t xml:space="preserve">until the regulations are published as final regulations.  </w:t>
      </w:r>
    </w:p>
    <w:p w:rsidR="0091397F" w:rsidRDefault="00F9346C" w:rsidP="00B34C4A">
      <w:pPr>
        <w:pStyle w:val="Heading2"/>
      </w:pPr>
      <w:bookmarkStart w:id="99" w:name="_Toc449442012"/>
      <w:proofErr w:type="gramStart"/>
      <w:r w:rsidRPr="0091397F">
        <w:t>CERTAIN DISTRIBUTIONS OF DEBT INSTRUMENTS AND SIMILAR TRANSACTIONS, PROPOSED REG.</w:t>
      </w:r>
      <w:proofErr w:type="gramEnd"/>
      <w:r w:rsidRPr="0091397F">
        <w:t xml:space="preserve">  §1.385-3</w:t>
      </w:r>
      <w:bookmarkEnd w:id="99"/>
    </w:p>
    <w:p w:rsidR="00FF2CAB" w:rsidRDefault="00CB7351" w:rsidP="00FF2CAB">
      <w:pPr>
        <w:pStyle w:val="Heading3"/>
      </w:pPr>
      <w:bookmarkStart w:id="100" w:name="_Toc449442013"/>
      <w:r>
        <w:t>THE BASIC DEBT-TREATED-AS-STOCK RULES</w:t>
      </w:r>
      <w:bookmarkStart w:id="101" w:name="_GoBack"/>
      <w:bookmarkEnd w:id="100"/>
      <w:bookmarkEnd w:id="101"/>
    </w:p>
    <w:p w:rsidR="00F9147A" w:rsidRPr="00F9147A" w:rsidRDefault="00F9147A" w:rsidP="00F9147A">
      <w:pPr>
        <w:pStyle w:val="Heading4"/>
      </w:pPr>
      <w:bookmarkStart w:id="102" w:name="_Toc449442014"/>
      <w:r>
        <w:t>INTRODUCTION TO THE THREE PRONGS</w:t>
      </w:r>
      <w:r w:rsidR="00CB7351">
        <w:t xml:space="preserve"> OF THE BASIC RULES</w:t>
      </w:r>
      <w:bookmarkEnd w:id="102"/>
    </w:p>
    <w:p w:rsidR="002231FC" w:rsidRDefault="00A624B2" w:rsidP="00B1618D">
      <w:r>
        <w:t xml:space="preserve">The most revolutionary and potentially effective anti-interest stripping initiative is taken in Prop. </w:t>
      </w:r>
      <w:proofErr w:type="spellStart"/>
      <w:proofErr w:type="gramStart"/>
      <w:r>
        <w:t>Reg</w:t>
      </w:r>
      <w:r w:rsidR="00635263">
        <w:t>s</w:t>
      </w:r>
      <w:proofErr w:type="spellEnd"/>
      <w:r>
        <w:t>.</w:t>
      </w:r>
      <w:proofErr w:type="gramEnd"/>
      <w:r>
        <w:t xml:space="preserve"> </w:t>
      </w:r>
      <w:proofErr w:type="gramStart"/>
      <w:r w:rsidR="00635263">
        <w:t>§1.385-3</w:t>
      </w:r>
      <w:r w:rsidR="00167A38">
        <w:t xml:space="preserve">, which sets out certain </w:t>
      </w:r>
      <w:r w:rsidR="00167A38" w:rsidRPr="0010573D">
        <w:rPr>
          <w:i/>
        </w:rPr>
        <w:t>per se</w:t>
      </w:r>
      <w:proofErr w:type="gramEnd"/>
      <w:r w:rsidR="00167A38">
        <w:t xml:space="preserve"> rules under which </w:t>
      </w:r>
      <w:r w:rsidR="0010573D">
        <w:t xml:space="preserve">certain inter-company </w:t>
      </w:r>
      <w:r w:rsidR="00167A38">
        <w:t xml:space="preserve">debt will be treated as stock, </w:t>
      </w:r>
      <w:r w:rsidR="0010573D">
        <w:t xml:space="preserve">that is, </w:t>
      </w:r>
      <w:r w:rsidR="00167A38">
        <w:t xml:space="preserve">the </w:t>
      </w:r>
      <w:r w:rsidR="00143CD8">
        <w:t>Basic Debt-Treated-As-Stock</w:t>
      </w:r>
      <w:r w:rsidR="00167A38">
        <w:t xml:space="preserve"> Rules.  </w:t>
      </w:r>
      <w:r w:rsidR="002231FC">
        <w:t xml:space="preserve">The preamble to the 2016 </w:t>
      </w:r>
      <w:r w:rsidR="000F192E">
        <w:t>Section</w:t>
      </w:r>
      <w:r w:rsidR="002231FC">
        <w:t xml:space="preserve"> 385 </w:t>
      </w:r>
      <w:proofErr w:type="spellStart"/>
      <w:r w:rsidR="002231FC">
        <w:t>Regs</w:t>
      </w:r>
      <w:proofErr w:type="spellEnd"/>
      <w:r w:rsidR="002231FC">
        <w:t xml:space="preserve"> provides the following summary of these rules: </w:t>
      </w:r>
    </w:p>
    <w:p w:rsidR="00A624B2" w:rsidRDefault="00AA57C7" w:rsidP="00B1618D">
      <w:r>
        <w:t xml:space="preserve">  </w:t>
      </w:r>
      <w:r w:rsidR="00635263">
        <w:t xml:space="preserve"> </w:t>
      </w:r>
    </w:p>
    <w:p w:rsidR="00B1618D" w:rsidRDefault="00B1618D" w:rsidP="003C6DCF">
      <w:pPr>
        <w:ind w:left="720"/>
      </w:pPr>
      <w:r w:rsidRPr="00B1618D">
        <w:t xml:space="preserve">Proposed §§1.385-3 </w:t>
      </w:r>
      <w:r w:rsidR="00D51049">
        <w:t xml:space="preserve">. . . </w:t>
      </w:r>
      <w:r w:rsidRPr="00B1618D">
        <w:t>provide</w:t>
      </w:r>
      <w:r w:rsidR="00D51049">
        <w:t>[s]</w:t>
      </w:r>
      <w:r w:rsidRPr="00B1618D">
        <w:t xml:space="preserve"> rules that treat as stock certain</w:t>
      </w:r>
      <w:r w:rsidR="002231FC">
        <w:t xml:space="preserve"> </w:t>
      </w:r>
      <w:r w:rsidRPr="00B1618D">
        <w:t>interests that otherwise would be treated as indebtedness for federal income tax</w:t>
      </w:r>
      <w:r w:rsidR="002231FC">
        <w:t xml:space="preserve"> </w:t>
      </w:r>
      <w:r w:rsidRPr="00B1618D">
        <w:t>purposes. Proposed §1.385-3 applies to debt instruments that are within the meaning</w:t>
      </w:r>
      <w:r w:rsidR="008957BF">
        <w:t xml:space="preserve"> </w:t>
      </w:r>
      <w:r w:rsidRPr="00B1618D">
        <w:t xml:space="preserve">of </w:t>
      </w:r>
      <w:r w:rsidR="000F192E">
        <w:t>Section</w:t>
      </w:r>
      <w:r w:rsidRPr="00B1618D">
        <w:t xml:space="preserve"> 1275(a) and §1.1275-</w:t>
      </w:r>
      <w:r w:rsidRPr="00B1618D">
        <w:lastRenderedPageBreak/>
        <w:t>1(d)</w:t>
      </w:r>
      <w:r w:rsidR="00A56285">
        <w:t xml:space="preserve"> </w:t>
      </w:r>
      <w:r w:rsidR="00A56285" w:rsidRPr="00A56285">
        <w:rPr>
          <w:b/>
        </w:rPr>
        <w:t>[</w:t>
      </w:r>
      <w:r w:rsidR="00A56285" w:rsidRPr="007D2C89">
        <w:rPr>
          <w:b/>
          <w:i/>
        </w:rPr>
        <w:t>i.e</w:t>
      </w:r>
      <w:r w:rsidR="00A56285" w:rsidRPr="00A56285">
        <w:rPr>
          <w:b/>
        </w:rPr>
        <w:t xml:space="preserve">., </w:t>
      </w:r>
      <w:r w:rsidR="009E4861">
        <w:rPr>
          <w:b/>
        </w:rPr>
        <w:t>“a bond, debenture, note, or certificate or other evidence of indebtedness”</w:t>
      </w:r>
      <w:r w:rsidR="00A56285" w:rsidRPr="00A56285">
        <w:rPr>
          <w:b/>
        </w:rPr>
        <w:t>]</w:t>
      </w:r>
      <w:r w:rsidRPr="00B1618D">
        <w:t>, as determined without regard to the application of</w:t>
      </w:r>
      <w:r w:rsidR="008957BF">
        <w:t xml:space="preserve"> </w:t>
      </w:r>
      <w:r w:rsidRPr="00B1618D">
        <w:t xml:space="preserve">proposed §1.385-3. </w:t>
      </w:r>
      <w:r w:rsidR="000F192E">
        <w:t>Section</w:t>
      </w:r>
      <w:r w:rsidRPr="00B1618D">
        <w:t xml:space="preserve"> 1275(a) and §1.1275-1(d)</w:t>
      </w:r>
      <w:r w:rsidR="008957BF">
        <w:t xml:space="preserve"> </w:t>
      </w:r>
      <w:r w:rsidRPr="00B1618D">
        <w:t>generally define a debt</w:t>
      </w:r>
      <w:r w:rsidR="008957BF">
        <w:t xml:space="preserve"> </w:t>
      </w:r>
      <w:r w:rsidRPr="00B1618D">
        <w:t>instrument as any instrument or contractual arrangement that constitutes indebtedness</w:t>
      </w:r>
      <w:r w:rsidR="008957BF">
        <w:t xml:space="preserve"> </w:t>
      </w:r>
      <w:r w:rsidRPr="00B1618D">
        <w:t>under general principles of federal income tax law. Thus, the term debt instrument for</w:t>
      </w:r>
      <w:r w:rsidR="008957BF">
        <w:t xml:space="preserve"> </w:t>
      </w:r>
      <w:r w:rsidRPr="00B1618D">
        <w:t>purposes of proposed §§1.385-3 and 1.385-4 means an instrument that satisfies the</w:t>
      </w:r>
      <w:r w:rsidR="008957BF">
        <w:t xml:space="preserve"> </w:t>
      </w:r>
      <w:r w:rsidRPr="00B1618D">
        <w:t>requirements of proposed §§1.385-1 and 1.385-2</w:t>
      </w:r>
      <w:r w:rsidR="00000F52">
        <w:t xml:space="preserve"> </w:t>
      </w:r>
      <w:r w:rsidR="00000F52" w:rsidRPr="00000F52">
        <w:rPr>
          <w:b/>
        </w:rPr>
        <w:t>[the documentation rules]</w:t>
      </w:r>
      <w:r w:rsidRPr="00B1618D">
        <w:t xml:space="preserve"> and that is indebtedness under</w:t>
      </w:r>
      <w:r w:rsidR="008832F9">
        <w:t xml:space="preserve"> </w:t>
      </w:r>
      <w:r w:rsidRPr="00B1618D">
        <w:t xml:space="preserve">general principles of federal income tax law. </w:t>
      </w:r>
      <w:r w:rsidR="008832F9">
        <w:t xml:space="preserve">. . . </w:t>
      </w:r>
    </w:p>
    <w:p w:rsidR="006B20D8" w:rsidRPr="00B1618D" w:rsidRDefault="006B20D8" w:rsidP="003C6DCF">
      <w:pPr>
        <w:ind w:left="720"/>
      </w:pPr>
    </w:p>
    <w:p w:rsidR="0075065C" w:rsidRDefault="00B1618D" w:rsidP="003C6DCF">
      <w:pPr>
        <w:ind w:left="720"/>
      </w:pPr>
      <w:r w:rsidRPr="00372C18">
        <w:t>Specifically, proposed §1.385-3 treats as stock certain debt instruments issued</w:t>
      </w:r>
      <w:r w:rsidR="006B20D8" w:rsidRPr="00372C18">
        <w:t xml:space="preserve"> </w:t>
      </w:r>
      <w:r w:rsidRPr="00372C18">
        <w:t>by one member of an expanded group</w:t>
      </w:r>
      <w:r w:rsidR="006B20D8" w:rsidRPr="00372C18">
        <w:t xml:space="preserve"> </w:t>
      </w:r>
      <w:r w:rsidR="006B20D8" w:rsidRPr="005058CB">
        <w:rPr>
          <w:b/>
        </w:rPr>
        <w:t>[</w:t>
      </w:r>
      <w:r w:rsidR="00142D30" w:rsidRPr="00716E0C">
        <w:rPr>
          <w:b/>
          <w:i/>
        </w:rPr>
        <w:t>i.e</w:t>
      </w:r>
      <w:r w:rsidR="00142D30" w:rsidRPr="005058CB">
        <w:rPr>
          <w:b/>
        </w:rPr>
        <w:t xml:space="preserve">., </w:t>
      </w:r>
      <w:r w:rsidR="004A0A5A">
        <w:rPr>
          <w:b/>
        </w:rPr>
        <w:t xml:space="preserve">pursuant to §1.385-1(b)(3), </w:t>
      </w:r>
      <w:r w:rsidR="00142D30" w:rsidRPr="005058CB">
        <w:rPr>
          <w:b/>
        </w:rPr>
        <w:t>basically a consolidated group (</w:t>
      </w:r>
      <w:r w:rsidR="00142D30" w:rsidRPr="004A0A5A">
        <w:rPr>
          <w:b/>
          <w:i/>
        </w:rPr>
        <w:t>e.g</w:t>
      </w:r>
      <w:r w:rsidR="00142D30" w:rsidRPr="005058CB">
        <w:rPr>
          <w:b/>
        </w:rPr>
        <w:t>., parent and its</w:t>
      </w:r>
      <w:r w:rsidR="004A0A5A">
        <w:rPr>
          <w:b/>
        </w:rPr>
        <w:t xml:space="preserve"> direct and indirect</w:t>
      </w:r>
      <w:r w:rsidR="00142D30" w:rsidRPr="005058CB">
        <w:rPr>
          <w:b/>
        </w:rPr>
        <w:t xml:space="preserve"> 80% owned subs)</w:t>
      </w:r>
      <w:r w:rsidR="00544F5B" w:rsidRPr="005058CB">
        <w:rPr>
          <w:b/>
        </w:rPr>
        <w:t xml:space="preserve"> plus </w:t>
      </w:r>
      <w:r w:rsidR="00142D30" w:rsidRPr="005058CB">
        <w:rPr>
          <w:b/>
        </w:rPr>
        <w:t>foreign and tax-exempt corporations, as well as</w:t>
      </w:r>
      <w:r w:rsidR="00372C18" w:rsidRPr="005058CB">
        <w:rPr>
          <w:b/>
        </w:rPr>
        <w:t xml:space="preserve"> </w:t>
      </w:r>
      <w:r w:rsidR="00142D30" w:rsidRPr="005058CB">
        <w:rPr>
          <w:b/>
        </w:rPr>
        <w:t>corporations held indirectly, for example, through partnerships</w:t>
      </w:r>
      <w:r w:rsidR="00372C18" w:rsidRPr="005058CB">
        <w:rPr>
          <w:b/>
        </w:rPr>
        <w:t>]</w:t>
      </w:r>
      <w:r w:rsidR="00372C18" w:rsidRPr="00372C18">
        <w:t xml:space="preserve"> </w:t>
      </w:r>
      <w:r w:rsidRPr="00372C18">
        <w:t>to another member of the same group</w:t>
      </w:r>
      <w:r w:rsidR="005058CB">
        <w:t xml:space="preserve"> </w:t>
      </w:r>
      <w:r w:rsidRPr="00372C18">
        <w:t>(expanded group debt instrument) in the</w:t>
      </w:r>
      <w:r w:rsidR="0075065C">
        <w:t xml:space="preserve"> [following </w:t>
      </w:r>
      <w:r w:rsidR="004B1A6F">
        <w:t xml:space="preserve">three </w:t>
      </w:r>
      <w:r w:rsidRPr="00372C18">
        <w:t>circumstances</w:t>
      </w:r>
      <w:r w:rsidR="00850FFD">
        <w:t xml:space="preserve"> specified in §1.385-3(b)(2)</w:t>
      </w:r>
      <w:r w:rsidR="0075065C">
        <w:t xml:space="preserve">:] , , , </w:t>
      </w:r>
    </w:p>
    <w:p w:rsidR="0075065C" w:rsidRDefault="0075065C" w:rsidP="003C6DCF">
      <w:pPr>
        <w:ind w:left="720"/>
      </w:pPr>
    </w:p>
    <w:p w:rsidR="00A74317" w:rsidRDefault="00A74317" w:rsidP="003C6DCF">
      <w:pPr>
        <w:ind w:left="1440"/>
      </w:pPr>
      <w:r w:rsidRPr="00A74317">
        <w:t>(1)</w:t>
      </w:r>
      <w:r w:rsidR="00C354E6">
        <w:t xml:space="preserve"> </w:t>
      </w:r>
      <w:r w:rsidR="00C354E6" w:rsidRPr="00C354E6">
        <w:rPr>
          <w:b/>
        </w:rPr>
        <w:t>[Distribution]</w:t>
      </w:r>
      <w:r w:rsidRPr="00A74317">
        <w:t xml:space="preserve"> in a</w:t>
      </w:r>
      <w:r>
        <w:t xml:space="preserve"> </w:t>
      </w:r>
      <w:r w:rsidRPr="00A74317">
        <w:t>distribution</w:t>
      </w:r>
      <w:r w:rsidR="0073264F">
        <w:t xml:space="preserve"> </w:t>
      </w:r>
      <w:r w:rsidR="0073264F" w:rsidRPr="0073264F">
        <w:rPr>
          <w:b/>
        </w:rPr>
        <w:t>[</w:t>
      </w:r>
      <w:r w:rsidR="0073264F" w:rsidRPr="00A02FAB">
        <w:rPr>
          <w:b/>
          <w:i/>
        </w:rPr>
        <w:t>e.g</w:t>
      </w:r>
      <w:r w:rsidR="0073264F" w:rsidRPr="0073264F">
        <w:rPr>
          <w:b/>
        </w:rPr>
        <w:t>., a domestic sub of a foreign parent, distributes to the parent a debt instrument of the sub</w:t>
      </w:r>
      <w:r w:rsidR="007514E8">
        <w:rPr>
          <w:b/>
        </w:rPr>
        <w:t xml:space="preserve"> as a dividend</w:t>
      </w:r>
      <w:r w:rsidR="0073264F" w:rsidRPr="0073264F">
        <w:rPr>
          <w:b/>
        </w:rPr>
        <w:t>]</w:t>
      </w:r>
      <w:r w:rsidRPr="00A74317">
        <w:t xml:space="preserve">; </w:t>
      </w:r>
    </w:p>
    <w:p w:rsidR="00A74317" w:rsidRPr="00A74317" w:rsidRDefault="00A74317" w:rsidP="003C6DCF">
      <w:pPr>
        <w:ind w:left="1440"/>
      </w:pPr>
      <w:r w:rsidRPr="00A74317">
        <w:t xml:space="preserve">(2) </w:t>
      </w:r>
      <w:r w:rsidR="00C354E6" w:rsidRPr="00C354E6">
        <w:rPr>
          <w:b/>
        </w:rPr>
        <w:t>[Exchange]</w:t>
      </w:r>
      <w:r w:rsidR="00C354E6">
        <w:t xml:space="preserve"> </w:t>
      </w:r>
      <w:r w:rsidRPr="00A74317">
        <w:t>in exchange for expanded group stock, other than in an exempt</w:t>
      </w:r>
    </w:p>
    <w:p w:rsidR="00A74317" w:rsidRDefault="00A74317" w:rsidP="003C6DCF">
      <w:pPr>
        <w:ind w:left="1440"/>
      </w:pPr>
      <w:proofErr w:type="gramStart"/>
      <w:r w:rsidRPr="00A74317">
        <w:t>exchange</w:t>
      </w:r>
      <w:proofErr w:type="gramEnd"/>
      <w:r w:rsidRPr="00A74317">
        <w:t xml:space="preserve"> </w:t>
      </w:r>
      <w:r>
        <w:t xml:space="preserve">. . . </w:t>
      </w:r>
      <w:r w:rsidR="0073264F" w:rsidRPr="00013996">
        <w:rPr>
          <w:b/>
        </w:rPr>
        <w:t>[</w:t>
      </w:r>
      <w:r w:rsidR="0073264F" w:rsidRPr="00A02FAB">
        <w:rPr>
          <w:b/>
          <w:i/>
        </w:rPr>
        <w:t>e.g</w:t>
      </w:r>
      <w:r w:rsidR="0073264F" w:rsidRPr="00013996">
        <w:rPr>
          <w:b/>
        </w:rPr>
        <w:t>.,</w:t>
      </w:r>
      <w:r w:rsidR="007514E8" w:rsidRPr="00013996">
        <w:rPr>
          <w:b/>
        </w:rPr>
        <w:t xml:space="preserve"> a domestic sub </w:t>
      </w:r>
      <w:r w:rsidR="00013996" w:rsidRPr="00013996">
        <w:rPr>
          <w:b/>
        </w:rPr>
        <w:t xml:space="preserve">of a foreign parent, </w:t>
      </w:r>
      <w:r w:rsidR="007514E8" w:rsidRPr="00013996">
        <w:rPr>
          <w:b/>
        </w:rPr>
        <w:t xml:space="preserve">transfers its debt instrument to </w:t>
      </w:r>
      <w:r w:rsidR="00013996" w:rsidRPr="00013996">
        <w:rPr>
          <w:b/>
        </w:rPr>
        <w:t xml:space="preserve">the </w:t>
      </w:r>
      <w:r w:rsidR="007514E8" w:rsidRPr="00013996">
        <w:rPr>
          <w:b/>
        </w:rPr>
        <w:t>parent in exchange for parent stock</w:t>
      </w:r>
      <w:r w:rsidR="00013996" w:rsidRPr="00013996">
        <w:rPr>
          <w:b/>
        </w:rPr>
        <w:t>]</w:t>
      </w:r>
      <w:r w:rsidRPr="00A74317">
        <w:t xml:space="preserve">; or </w:t>
      </w:r>
    </w:p>
    <w:p w:rsidR="0075065C" w:rsidRDefault="00A74317" w:rsidP="003C6DCF">
      <w:pPr>
        <w:ind w:left="1440"/>
      </w:pPr>
      <w:r w:rsidRPr="00A74317">
        <w:t xml:space="preserve">(3) </w:t>
      </w:r>
      <w:r w:rsidR="0085172B" w:rsidRPr="0085172B">
        <w:rPr>
          <w:b/>
        </w:rPr>
        <w:t>[Internal Asset Reorganization]</w:t>
      </w:r>
      <w:r w:rsidR="0085172B">
        <w:t xml:space="preserve">  </w:t>
      </w:r>
      <w:r w:rsidRPr="00A74317">
        <w:t>in exchange for property in an asset</w:t>
      </w:r>
      <w:r>
        <w:t xml:space="preserve"> </w:t>
      </w:r>
      <w:r w:rsidRPr="00A74317">
        <w:t>reorganization, but only to the extent that, pursuant to the plan of reorganization, a</w:t>
      </w:r>
      <w:r w:rsidR="004B1A6F">
        <w:t xml:space="preserve"> </w:t>
      </w:r>
      <w:r w:rsidRPr="00A74317">
        <w:t>shareholder that is a member of the issuer’s expanded group</w:t>
      </w:r>
      <w:r w:rsidR="004B1A6F">
        <w:t xml:space="preserve"> </w:t>
      </w:r>
      <w:r w:rsidRPr="00A74317">
        <w:t>immediately before the</w:t>
      </w:r>
      <w:r w:rsidR="004B1A6F">
        <w:t xml:space="preserve"> </w:t>
      </w:r>
      <w:r w:rsidRPr="00A74317">
        <w:t>reorganization receives the debt instrument with respect to its stock in the transferor</w:t>
      </w:r>
      <w:r w:rsidR="004B1A6F">
        <w:t xml:space="preserve"> </w:t>
      </w:r>
      <w:r w:rsidRPr="00A74317">
        <w:t>corporation.</w:t>
      </w:r>
      <w:r w:rsidR="004B1A6F">
        <w:rPr>
          <w:rStyle w:val="FootnoteReference"/>
        </w:rPr>
        <w:footnoteReference w:id="30"/>
      </w:r>
    </w:p>
    <w:p w:rsidR="0075065C" w:rsidRDefault="0075065C" w:rsidP="00B1618D"/>
    <w:p w:rsidR="00122F18" w:rsidRDefault="0085172B" w:rsidP="00DC2D5D">
      <w:r>
        <w:t>Thus</w:t>
      </w:r>
      <w:r w:rsidR="00167A38">
        <w:t>,</w:t>
      </w:r>
      <w:r>
        <w:t xml:space="preserve"> there are three prongs to the </w:t>
      </w:r>
      <w:r w:rsidR="004204A1">
        <w:t xml:space="preserve">Basic </w:t>
      </w:r>
      <w:r w:rsidR="00F30BF2">
        <w:t xml:space="preserve">Debt-Treated- As-Stock </w:t>
      </w:r>
      <w:r>
        <w:t>rules</w:t>
      </w:r>
      <w:r w:rsidR="00F30BF2">
        <w:t xml:space="preserve"> in §1.385-3(b</w:t>
      </w:r>
      <w:proofErr w:type="gramStart"/>
      <w:r w:rsidR="00F30BF2">
        <w:t>)(</w:t>
      </w:r>
      <w:proofErr w:type="gramEnd"/>
      <w:r w:rsidR="00F30BF2">
        <w:t xml:space="preserve">2): </w:t>
      </w:r>
      <w:r w:rsidR="00167A38">
        <w:t>D</w:t>
      </w:r>
      <w:r w:rsidR="00F30BF2">
        <w:t xml:space="preserve">istribution, </w:t>
      </w:r>
      <w:r w:rsidR="00167A38">
        <w:t>E</w:t>
      </w:r>
      <w:r w:rsidR="00F30BF2">
        <w:t xml:space="preserve">xchange, and </w:t>
      </w:r>
      <w:r w:rsidR="00167A38">
        <w:t>Internal Asset R</w:t>
      </w:r>
      <w:r w:rsidR="00F30BF2">
        <w:t>eorganization</w:t>
      </w:r>
      <w:r w:rsidR="00167A38">
        <w:t xml:space="preserve">.  </w:t>
      </w:r>
      <w:r w:rsidR="00F30BF2">
        <w:t xml:space="preserve"> </w:t>
      </w:r>
      <w:r>
        <w:t xml:space="preserve"> </w:t>
      </w:r>
    </w:p>
    <w:p w:rsidR="00122F18" w:rsidRDefault="00196EFA" w:rsidP="00DC2D5D">
      <w:pPr>
        <w:pStyle w:val="Heading4"/>
      </w:pPr>
      <w:bookmarkStart w:id="103" w:name="_Toc449442015"/>
      <w:r>
        <w:t>THE FIRST PRONG, DISTRIBUTION</w:t>
      </w:r>
      <w:bookmarkEnd w:id="103"/>
    </w:p>
    <w:p w:rsidR="00196EFA" w:rsidRPr="00196EFA" w:rsidRDefault="00B45D88" w:rsidP="00196EFA">
      <w:pPr>
        <w:pStyle w:val="Heading5"/>
      </w:pPr>
      <w:bookmarkStart w:id="104" w:name="_Toc449442016"/>
      <w:r>
        <w:t>GENERAL PRINCIPLES</w:t>
      </w:r>
      <w:bookmarkEnd w:id="104"/>
    </w:p>
    <w:p w:rsidR="00635422" w:rsidRDefault="003A3B49" w:rsidP="00DC2D5D">
      <w:r>
        <w:t xml:space="preserve">The preamble to the 2016 </w:t>
      </w:r>
      <w:r w:rsidR="000F192E">
        <w:t>Section</w:t>
      </w:r>
      <w:r>
        <w:t xml:space="preserve"> 385 </w:t>
      </w:r>
      <w:proofErr w:type="spellStart"/>
      <w:r>
        <w:t>Regs</w:t>
      </w:r>
      <w:proofErr w:type="spellEnd"/>
      <w:r>
        <w:t xml:space="preserve"> elaborates as follows on </w:t>
      </w:r>
      <w:r w:rsidR="0052701A">
        <w:t>the first prong</w:t>
      </w:r>
      <w:r w:rsidR="00467BC6">
        <w:t>, which is in</w:t>
      </w:r>
      <w:r w:rsidR="005121D7">
        <w:t xml:space="preserve"> §1.385-3(b)(2)(</w:t>
      </w:r>
      <w:proofErr w:type="spellStart"/>
      <w:r w:rsidR="005121D7">
        <w:t>i</w:t>
      </w:r>
      <w:proofErr w:type="spellEnd"/>
      <w:r w:rsidR="005121D7">
        <w:t>), the D</w:t>
      </w:r>
      <w:r w:rsidR="005841EE">
        <w:t xml:space="preserve">istribution </w:t>
      </w:r>
      <w:r w:rsidR="00AC02FB">
        <w:t>prong</w:t>
      </w:r>
      <w:r w:rsidR="0052701A">
        <w:t xml:space="preserve">:  </w:t>
      </w:r>
      <w:r w:rsidR="00635422">
        <w:t xml:space="preserve">  </w:t>
      </w:r>
    </w:p>
    <w:p w:rsidR="00635422" w:rsidRDefault="00635422" w:rsidP="00DC2D5D"/>
    <w:p w:rsidR="00DC2D5D" w:rsidRDefault="00DC2D5D" w:rsidP="00156EEE">
      <w:pPr>
        <w:ind w:left="720"/>
      </w:pPr>
      <w:r w:rsidRPr="00DC2D5D">
        <w:t>For purposes of the first prong of the general rule, the term distribution is broadly</w:t>
      </w:r>
      <w:r w:rsidR="00342BD7">
        <w:t xml:space="preserve"> </w:t>
      </w:r>
      <w:r w:rsidRPr="00DC2D5D">
        <w:t>defined as any distribution by a corporation to a member of the corporation’s expanded</w:t>
      </w:r>
      <w:r w:rsidR="00342BD7">
        <w:t xml:space="preserve"> </w:t>
      </w:r>
      <w:r w:rsidRPr="00DC2D5D">
        <w:t>group with respect to the distributing corporation’s stock, regardless of whether the</w:t>
      </w:r>
      <w:r w:rsidR="00342BD7">
        <w:t xml:space="preserve"> </w:t>
      </w:r>
      <w:r w:rsidRPr="00DC2D5D">
        <w:t xml:space="preserve">distribution is treated as a dividend within the meaning of </w:t>
      </w:r>
      <w:r w:rsidR="000F192E">
        <w:t>Section</w:t>
      </w:r>
      <w:r w:rsidRPr="00DC2D5D">
        <w:t xml:space="preserve"> 316. Thus, a debt</w:t>
      </w:r>
      <w:r w:rsidR="00342BD7">
        <w:t xml:space="preserve"> </w:t>
      </w:r>
      <w:r w:rsidRPr="00DC2D5D">
        <w:t>instrument issued in exchange for stock of the issuer of the debt instrument (that is, in a</w:t>
      </w:r>
      <w:r w:rsidR="00342BD7">
        <w:t xml:space="preserve"> </w:t>
      </w:r>
      <w:r w:rsidRPr="00DC2D5D">
        <w:t>redemption under corporate law) is a distribution that is covered by the first prong of the</w:t>
      </w:r>
      <w:r w:rsidR="00342BD7">
        <w:t xml:space="preserve"> </w:t>
      </w:r>
      <w:r w:rsidRPr="00DC2D5D">
        <w:t>general rule and an acquisition of expanded group stock covered by the second prong</w:t>
      </w:r>
      <w:r w:rsidR="00342BD7">
        <w:t xml:space="preserve"> </w:t>
      </w:r>
      <w:r w:rsidRPr="00DC2D5D">
        <w:t>of the general rule.</w:t>
      </w:r>
      <w:r w:rsidR="00FC2495">
        <w:rPr>
          <w:rStyle w:val="FootnoteReference"/>
        </w:rPr>
        <w:footnoteReference w:id="31"/>
      </w:r>
    </w:p>
    <w:p w:rsidR="008614C9" w:rsidRDefault="008614C9" w:rsidP="00156EEE">
      <w:pPr>
        <w:ind w:left="720"/>
      </w:pPr>
    </w:p>
    <w:p w:rsidR="00B45D88" w:rsidRDefault="00B45D88" w:rsidP="00B45D88">
      <w:pPr>
        <w:pStyle w:val="Heading5"/>
      </w:pPr>
      <w:bookmarkStart w:id="105" w:name="_Toc449442017"/>
      <w:r>
        <w:lastRenderedPageBreak/>
        <w:t>ILLUSTRATION OF THE FIRST PRONG</w:t>
      </w:r>
      <w:bookmarkEnd w:id="105"/>
    </w:p>
    <w:p w:rsidR="008614C9" w:rsidRDefault="00B45D88" w:rsidP="008614C9">
      <w:r>
        <w:t xml:space="preserve">Assume that </w:t>
      </w:r>
      <w:r w:rsidR="0077041C">
        <w:t>a U.S. sub of a foreign parent distributed a debt instrument of the sub to the parent as a dividend</w:t>
      </w:r>
      <w:r w:rsidR="00F95572">
        <w:t>.  Under the First Prong</w:t>
      </w:r>
      <w:r w:rsidR="0077041C">
        <w:t>, the debt would automatically be treated as stock</w:t>
      </w:r>
      <w:r w:rsidR="00AD04C2">
        <w:t xml:space="preserve">, assuming the current E&amp;P exception, which is discussed below, did not apply.  </w:t>
      </w:r>
    </w:p>
    <w:p w:rsidR="00AC02FB" w:rsidRDefault="00FD3E48" w:rsidP="00E7794A">
      <w:pPr>
        <w:pStyle w:val="Heading4"/>
      </w:pPr>
      <w:bookmarkStart w:id="106" w:name="_Toc449442018"/>
      <w:r>
        <w:t>THE SECOND PRONG, EXCHANGE</w:t>
      </w:r>
      <w:bookmarkEnd w:id="106"/>
    </w:p>
    <w:p w:rsidR="00FD3E48" w:rsidRPr="00196EFA" w:rsidRDefault="00FD3E48" w:rsidP="00FD3E48">
      <w:pPr>
        <w:pStyle w:val="Heading5"/>
      </w:pPr>
      <w:bookmarkStart w:id="107" w:name="_Toc449442019"/>
      <w:r>
        <w:t>GENERAL PRINCIPLES</w:t>
      </w:r>
      <w:bookmarkEnd w:id="107"/>
    </w:p>
    <w:p w:rsidR="00AC02FB" w:rsidRDefault="00AC02FB" w:rsidP="00AC02FB">
      <w:r>
        <w:t xml:space="preserve">The preamble to the 2016 Section 385 </w:t>
      </w:r>
      <w:proofErr w:type="spellStart"/>
      <w:r>
        <w:t>Regs</w:t>
      </w:r>
      <w:proofErr w:type="spellEnd"/>
      <w:r>
        <w:t xml:space="preserve"> elaborates as follows on the </w:t>
      </w:r>
      <w:r w:rsidR="0077041C">
        <w:t xml:space="preserve">second </w:t>
      </w:r>
      <w:r>
        <w:t>prong, which is in §1.385-3(b)(2)(i</w:t>
      </w:r>
      <w:r w:rsidR="0077041C">
        <w:t>i</w:t>
      </w:r>
      <w:r>
        <w:t xml:space="preserve">), the </w:t>
      </w:r>
      <w:r w:rsidR="0077041C">
        <w:t xml:space="preserve">Exchange </w:t>
      </w:r>
      <w:r>
        <w:t>prong</w:t>
      </w:r>
      <w:r w:rsidR="00623436">
        <w:t>, and its relationship to the Internal Reorganization Prong</w:t>
      </w:r>
      <w:r>
        <w:t xml:space="preserve">:    </w:t>
      </w:r>
    </w:p>
    <w:p w:rsidR="00690F73" w:rsidRDefault="00DC2D5D" w:rsidP="00156EEE">
      <w:pPr>
        <w:ind w:left="720"/>
      </w:pPr>
      <w:r w:rsidRPr="00DC2D5D">
        <w:t>The second prong of the general rule – addressing debt instruments issued in</w:t>
      </w:r>
      <w:r w:rsidR="00342BD7">
        <w:t xml:space="preserve"> </w:t>
      </w:r>
      <w:r w:rsidRPr="00DC2D5D">
        <w:t>exchange for expanded group stock – applies regardless of whether the expanded</w:t>
      </w:r>
      <w:r w:rsidR="00342BD7">
        <w:t xml:space="preserve"> </w:t>
      </w:r>
      <w:r w:rsidRPr="00DC2D5D">
        <w:t>group stock is acquired from a shareholder of the issuer of the expanded group stock,</w:t>
      </w:r>
      <w:r w:rsidR="00690F73">
        <w:t xml:space="preserve"> </w:t>
      </w:r>
      <w:r w:rsidRPr="00DC2D5D">
        <w:t xml:space="preserve">or directly from the issuer. </w:t>
      </w:r>
      <w:r w:rsidR="00690F73">
        <w:t xml:space="preserve">. . .  </w:t>
      </w:r>
    </w:p>
    <w:p w:rsidR="00690F73" w:rsidRDefault="00690F73" w:rsidP="00156EEE">
      <w:pPr>
        <w:ind w:left="720"/>
      </w:pPr>
    </w:p>
    <w:p w:rsidR="00DC2D5D" w:rsidRDefault="00DC2D5D" w:rsidP="00156EEE">
      <w:pPr>
        <w:ind w:left="720"/>
      </w:pPr>
      <w:r w:rsidRPr="00DC2D5D">
        <w:t>For purposes of the second prong of the general rule, the term exempt exchange</w:t>
      </w:r>
      <w:r w:rsidR="00690F73">
        <w:t xml:space="preserve"> </w:t>
      </w:r>
      <w:r w:rsidRPr="00DC2D5D">
        <w:t>means an acquisition of expanded group stock in which the transferor and transferee of</w:t>
      </w:r>
      <w:r w:rsidR="00690F73">
        <w:t xml:space="preserve"> </w:t>
      </w:r>
      <w:r w:rsidRPr="00DC2D5D">
        <w:t>the stock are parties to a reorganization that is an asset reorganization, and either (</w:t>
      </w:r>
      <w:proofErr w:type="spellStart"/>
      <w:r w:rsidRPr="00DC2D5D">
        <w:t>i</w:t>
      </w:r>
      <w:proofErr w:type="spellEnd"/>
      <w:r w:rsidRPr="00DC2D5D">
        <w:t>)</w:t>
      </w:r>
      <w:r w:rsidR="00BF39B0">
        <w:t xml:space="preserve"> </w:t>
      </w:r>
      <w:r w:rsidR="000F192E">
        <w:t>Section</w:t>
      </w:r>
      <w:r w:rsidRPr="00DC2D5D">
        <w:t xml:space="preserve"> 361(a) or (b) applies to the transferor of the expanded group stock and the stock</w:t>
      </w:r>
      <w:r w:rsidR="00BF39B0">
        <w:t xml:space="preserve"> </w:t>
      </w:r>
      <w:r w:rsidRPr="00DC2D5D">
        <w:t xml:space="preserve">is not transferred by issuance; or (ii) </w:t>
      </w:r>
      <w:r w:rsidR="000F192E">
        <w:t>Section</w:t>
      </w:r>
      <w:r w:rsidRPr="00DC2D5D">
        <w:t xml:space="preserve"> 1032 or §1.1032-2 applies to the transferor</w:t>
      </w:r>
      <w:r w:rsidR="00BF39B0">
        <w:t xml:space="preserve"> </w:t>
      </w:r>
      <w:r w:rsidRPr="00DC2D5D">
        <w:t>of the expanded group stock and the stock is distributed by the transferee pursuant to</w:t>
      </w:r>
      <w:r w:rsidR="00BF39B0">
        <w:t xml:space="preserve"> </w:t>
      </w:r>
      <w:r w:rsidRPr="00DC2D5D">
        <w:t>the plan of reorganization.</w:t>
      </w:r>
      <w:r w:rsidR="00BF39B0">
        <w:t xml:space="preserve">  </w:t>
      </w:r>
      <w:r w:rsidRPr="00DC2D5D">
        <w:t>As a result, the second prong of the general rule generally</w:t>
      </w:r>
      <w:r w:rsidR="00BF39B0">
        <w:t xml:space="preserve"> </w:t>
      </w:r>
      <w:r w:rsidRPr="00DC2D5D">
        <w:t>does not apply to a debt instrument that is issued in exchange for expanded group stock</w:t>
      </w:r>
      <w:r w:rsidR="009626E8">
        <w:t xml:space="preserve"> </w:t>
      </w:r>
      <w:r w:rsidRPr="00DC2D5D">
        <w:t xml:space="preserve">when </w:t>
      </w:r>
      <w:r w:rsidR="000F192E">
        <w:t>Section</w:t>
      </w:r>
      <w:r w:rsidRPr="00DC2D5D">
        <w:t xml:space="preserve"> 361(a) or (b) applies to the transferor of such stock. This limitation has</w:t>
      </w:r>
      <w:r w:rsidR="009626E8">
        <w:t xml:space="preserve"> </w:t>
      </w:r>
      <w:r w:rsidRPr="00DC2D5D">
        <w:t>the effect of causing exchanges of expanded group stock that are part of an asset</w:t>
      </w:r>
      <w:r w:rsidR="009626E8">
        <w:t xml:space="preserve"> </w:t>
      </w:r>
      <w:r w:rsidRPr="00DC2D5D">
        <w:t xml:space="preserve">reorganization to be covered only by the third prong of the general rule, which, </w:t>
      </w:r>
      <w:r w:rsidR="00F37A4F">
        <w:t xml:space="preserve">. . . </w:t>
      </w:r>
      <w:r w:rsidRPr="00DC2D5D">
        <w:t>imposes limitations on the application of the general</w:t>
      </w:r>
      <w:r w:rsidR="00A36BED">
        <w:t xml:space="preserve"> </w:t>
      </w:r>
      <w:r w:rsidRPr="00DC2D5D">
        <w:t>rule to exchanges that are part of an asset reorganization.</w:t>
      </w:r>
      <w:r w:rsidR="00A36BED">
        <w:rPr>
          <w:rStyle w:val="FootnoteReference"/>
        </w:rPr>
        <w:footnoteReference w:id="32"/>
      </w:r>
      <w:r w:rsidR="009626E8">
        <w:t xml:space="preserve">  </w:t>
      </w:r>
    </w:p>
    <w:p w:rsidR="00FD3E48" w:rsidRDefault="00FD3E48" w:rsidP="00DD54AA">
      <w:pPr>
        <w:pStyle w:val="Heading5"/>
        <w:numPr>
          <w:ilvl w:val="4"/>
          <w:numId w:val="7"/>
        </w:numPr>
      </w:pPr>
      <w:bookmarkStart w:id="108" w:name="_Toc449442020"/>
      <w:r>
        <w:t>ILLUSTRATION</w:t>
      </w:r>
      <w:r w:rsidR="00605042">
        <w:t>S</w:t>
      </w:r>
      <w:r>
        <w:t xml:space="preserve"> OF THE SECOND PRONG</w:t>
      </w:r>
      <w:bookmarkEnd w:id="108"/>
    </w:p>
    <w:p w:rsidR="002E2A77" w:rsidRPr="002E2A77" w:rsidRDefault="002E2A77" w:rsidP="00DD54AA">
      <w:pPr>
        <w:pStyle w:val="Heading5"/>
        <w:numPr>
          <w:ilvl w:val="5"/>
          <w:numId w:val="1"/>
        </w:numPr>
      </w:pPr>
      <w:bookmarkStart w:id="109" w:name="_Toc449442021"/>
      <w:r>
        <w:t>EXAMPLE 3</w:t>
      </w:r>
      <w:bookmarkEnd w:id="109"/>
    </w:p>
    <w:p w:rsidR="0068315F" w:rsidRPr="00ED60F4" w:rsidRDefault="0068315F" w:rsidP="0068315F">
      <w:r>
        <w:t xml:space="preserve">The </w:t>
      </w:r>
      <w:r w:rsidR="0062678C">
        <w:t xml:space="preserve">Exchange prong </w:t>
      </w:r>
      <w:r>
        <w:t xml:space="preserve">is illustrated as follows in </w:t>
      </w:r>
      <w:r w:rsidRPr="00ED60F4">
        <w:t>Example 3 of §1.385-3(g</w:t>
      </w:r>
      <w:proofErr w:type="gramStart"/>
      <w:r w:rsidRPr="00ED60F4">
        <w:t>)(</w:t>
      </w:r>
      <w:proofErr w:type="gramEnd"/>
      <w:r w:rsidRPr="00ED60F4">
        <w:t>3)</w:t>
      </w:r>
      <w:r>
        <w:t>:</w:t>
      </w:r>
    </w:p>
    <w:p w:rsidR="0068315F" w:rsidRDefault="0068315F" w:rsidP="0068315F">
      <w:pPr>
        <w:autoSpaceDE w:val="0"/>
        <w:autoSpaceDN w:val="0"/>
        <w:adjustRightInd w:val="0"/>
      </w:pPr>
    </w:p>
    <w:p w:rsidR="0068315F" w:rsidRPr="00641D02" w:rsidRDefault="0068315F" w:rsidP="0068315F">
      <w:pPr>
        <w:autoSpaceDE w:val="0"/>
        <w:autoSpaceDN w:val="0"/>
        <w:adjustRightInd w:val="0"/>
        <w:ind w:left="720"/>
      </w:pPr>
      <w:proofErr w:type="gramStart"/>
      <w:r w:rsidRPr="00641D02">
        <w:t>Example 3.</w:t>
      </w:r>
      <w:proofErr w:type="gramEnd"/>
      <w:r w:rsidRPr="00641D02">
        <w:t xml:space="preserve"> </w:t>
      </w:r>
      <w:proofErr w:type="gramStart"/>
      <w:r w:rsidRPr="00750273">
        <w:rPr>
          <w:i/>
        </w:rPr>
        <w:t>Issuance of a note in exchange for expanded group stock</w:t>
      </w:r>
      <w:r w:rsidRPr="00641D02">
        <w:t>.</w:t>
      </w:r>
      <w:proofErr w:type="gramEnd"/>
      <w:r w:rsidRPr="00641D02">
        <w:t xml:space="preserve"> (</w:t>
      </w:r>
      <w:proofErr w:type="spellStart"/>
      <w:r w:rsidRPr="00641D02">
        <w:t>i</w:t>
      </w:r>
      <w:proofErr w:type="spellEnd"/>
      <w:r w:rsidRPr="00641D02">
        <w:t xml:space="preserve">) </w:t>
      </w:r>
      <w:r w:rsidRPr="00750273">
        <w:rPr>
          <w:i/>
        </w:rPr>
        <w:t>Facts</w:t>
      </w:r>
      <w:r w:rsidRPr="00641D02">
        <w:t>.</w:t>
      </w:r>
    </w:p>
    <w:p w:rsidR="0068315F" w:rsidRDefault="0068315F" w:rsidP="0068315F">
      <w:pPr>
        <w:autoSpaceDE w:val="0"/>
        <w:autoSpaceDN w:val="0"/>
        <w:adjustRightInd w:val="0"/>
        <w:ind w:left="720"/>
      </w:pPr>
      <w:r w:rsidRPr="00641D02">
        <w:t>On Date A in Year 1, USS1</w:t>
      </w:r>
      <w:r>
        <w:t xml:space="preserve"> </w:t>
      </w:r>
      <w:r w:rsidRPr="00C104F5">
        <w:rPr>
          <w:b/>
        </w:rPr>
        <w:t>[a domestic wholly owned sub of FP, a foreign corporation</w:t>
      </w:r>
      <w:r w:rsidR="00FC67AD">
        <w:rPr>
          <w:b/>
        </w:rPr>
        <w:t xml:space="preserve"> that has no current E&amp;P</w:t>
      </w:r>
      <w:r w:rsidRPr="00C104F5">
        <w:rPr>
          <w:b/>
        </w:rPr>
        <w:t>]</w:t>
      </w:r>
      <w:r w:rsidRPr="00641D02">
        <w:t xml:space="preserve"> issues USS1 Note to FP in exchange for 40 percent of the</w:t>
      </w:r>
      <w:r>
        <w:t xml:space="preserve"> </w:t>
      </w:r>
      <w:r w:rsidRPr="00641D02">
        <w:t>FS</w:t>
      </w:r>
      <w:r>
        <w:t xml:space="preserve"> </w:t>
      </w:r>
      <w:r w:rsidRPr="00C104F5">
        <w:rPr>
          <w:b/>
        </w:rPr>
        <w:t>[a wholly owned foreign sub of FP]</w:t>
      </w:r>
      <w:r w:rsidRPr="00641D02">
        <w:t xml:space="preserve"> stock owned by FP</w:t>
      </w:r>
      <w:r>
        <w:t xml:space="preserve"> </w:t>
      </w:r>
      <w:r w:rsidRPr="008B3475">
        <w:rPr>
          <w:b/>
        </w:rPr>
        <w:t xml:space="preserve">[note that because USS1 is acquiring stock of a sister sub, </w:t>
      </w:r>
      <w:r>
        <w:rPr>
          <w:b/>
        </w:rPr>
        <w:t>Section</w:t>
      </w:r>
      <w:r w:rsidRPr="008B3475">
        <w:rPr>
          <w:b/>
        </w:rPr>
        <w:t xml:space="preserve"> 304 would normally apply]</w:t>
      </w:r>
      <w:r w:rsidRPr="00641D02">
        <w:t>.</w:t>
      </w:r>
    </w:p>
    <w:p w:rsidR="0068315F" w:rsidRPr="00641D02" w:rsidRDefault="0068315F" w:rsidP="0068315F">
      <w:pPr>
        <w:autoSpaceDE w:val="0"/>
        <w:autoSpaceDN w:val="0"/>
        <w:adjustRightInd w:val="0"/>
        <w:ind w:left="720"/>
      </w:pPr>
    </w:p>
    <w:p w:rsidR="0068315F" w:rsidRPr="00641D02" w:rsidRDefault="0068315F" w:rsidP="0068315F">
      <w:pPr>
        <w:autoSpaceDE w:val="0"/>
        <w:autoSpaceDN w:val="0"/>
        <w:adjustRightInd w:val="0"/>
        <w:ind w:left="720"/>
      </w:pPr>
      <w:r w:rsidRPr="00641D02">
        <w:t xml:space="preserve">(ii) </w:t>
      </w:r>
      <w:r w:rsidRPr="00C104F5">
        <w:rPr>
          <w:i/>
        </w:rPr>
        <w:t>Analysis</w:t>
      </w:r>
      <w:r w:rsidRPr="00641D02">
        <w:t>. (A) Because USS1 and FP are both members of the FP expanded</w:t>
      </w:r>
    </w:p>
    <w:p w:rsidR="0068315F" w:rsidRPr="00641D02" w:rsidRDefault="0068315F" w:rsidP="0068315F">
      <w:pPr>
        <w:autoSpaceDE w:val="0"/>
        <w:autoSpaceDN w:val="0"/>
        <w:adjustRightInd w:val="0"/>
        <w:ind w:left="720"/>
      </w:pPr>
      <w:proofErr w:type="gramStart"/>
      <w:r w:rsidRPr="00641D02">
        <w:t>group</w:t>
      </w:r>
      <w:proofErr w:type="gramEnd"/>
      <w:r w:rsidRPr="00641D02">
        <w:t>, USS1 Note is treated as stock when it is issued by USS1 to FP in exchange for</w:t>
      </w:r>
    </w:p>
    <w:p w:rsidR="0068315F" w:rsidRDefault="0068315F" w:rsidP="0068315F">
      <w:pPr>
        <w:autoSpaceDE w:val="0"/>
        <w:autoSpaceDN w:val="0"/>
        <w:adjustRightInd w:val="0"/>
        <w:ind w:left="720"/>
      </w:pPr>
      <w:r w:rsidRPr="00641D02">
        <w:lastRenderedPageBreak/>
        <w:t>FS stock on Date A in Year 1 under paragraphs (b</w:t>
      </w:r>
      <w:proofErr w:type="gramStart"/>
      <w:r w:rsidRPr="00641D02">
        <w:t>)(</w:t>
      </w:r>
      <w:proofErr w:type="gramEnd"/>
      <w:r w:rsidRPr="00641D02">
        <w:t>2)(ii)</w:t>
      </w:r>
      <w:r>
        <w:t xml:space="preserve"> </w:t>
      </w:r>
      <w:r w:rsidRPr="00A406CB">
        <w:rPr>
          <w:b/>
        </w:rPr>
        <w:t>[an exchange for expanded group stock]</w:t>
      </w:r>
      <w:r w:rsidRPr="00641D02">
        <w:t xml:space="preserve"> and (d)(1)(</w:t>
      </w:r>
      <w:proofErr w:type="spellStart"/>
      <w:r w:rsidRPr="00641D02">
        <w:t>i</w:t>
      </w:r>
      <w:proofErr w:type="spellEnd"/>
      <w:r w:rsidRPr="00641D02">
        <w:t>)</w:t>
      </w:r>
      <w:r>
        <w:t xml:space="preserve"> </w:t>
      </w:r>
      <w:r w:rsidRPr="002D70AD">
        <w:rPr>
          <w:b/>
        </w:rPr>
        <w:t>[the debt instrument is treated as stock when issued]</w:t>
      </w:r>
      <w:r>
        <w:rPr>
          <w:b/>
        </w:rPr>
        <w:t xml:space="preserve"> </w:t>
      </w:r>
      <w:r w:rsidRPr="00641D02">
        <w:t xml:space="preserve">of this </w:t>
      </w:r>
      <w:r>
        <w:t>Section</w:t>
      </w:r>
      <w:r w:rsidRPr="00641D02">
        <w:t>.</w:t>
      </w:r>
    </w:p>
    <w:p w:rsidR="0068315F" w:rsidRPr="00641D02" w:rsidRDefault="0068315F" w:rsidP="0068315F">
      <w:pPr>
        <w:autoSpaceDE w:val="0"/>
        <w:autoSpaceDN w:val="0"/>
        <w:adjustRightInd w:val="0"/>
        <w:ind w:left="720"/>
      </w:pPr>
    </w:p>
    <w:p w:rsidR="0068315F" w:rsidRDefault="0068315F" w:rsidP="0068315F">
      <w:pPr>
        <w:autoSpaceDE w:val="0"/>
        <w:autoSpaceDN w:val="0"/>
        <w:adjustRightInd w:val="0"/>
        <w:ind w:left="720"/>
      </w:pPr>
      <w:r w:rsidRPr="00641D02">
        <w:t>The exchange of USS1 Note for FS stock is not an exempt exchange within the</w:t>
      </w:r>
      <w:r>
        <w:t xml:space="preserve"> </w:t>
      </w:r>
      <w:r w:rsidRPr="00641D02">
        <w:t>meaning of paragraph (f</w:t>
      </w:r>
      <w:proofErr w:type="gramStart"/>
      <w:r w:rsidRPr="00641D02">
        <w:t>)(</w:t>
      </w:r>
      <w:proofErr w:type="gramEnd"/>
      <w:r w:rsidRPr="00641D02">
        <w:t xml:space="preserve">5) of this </w:t>
      </w:r>
      <w:r>
        <w:t>Section</w:t>
      </w:r>
      <w:r w:rsidRPr="00641D02">
        <w:t xml:space="preserve"> because USS1 and FP are not parties to a</w:t>
      </w:r>
      <w:r>
        <w:t xml:space="preserve"> </w:t>
      </w:r>
      <w:r w:rsidRPr="00641D02">
        <w:t>reorganization.</w:t>
      </w:r>
    </w:p>
    <w:p w:rsidR="0068315F" w:rsidRPr="00641D02" w:rsidRDefault="0068315F" w:rsidP="0068315F">
      <w:pPr>
        <w:autoSpaceDE w:val="0"/>
        <w:autoSpaceDN w:val="0"/>
        <w:adjustRightInd w:val="0"/>
        <w:ind w:left="720"/>
      </w:pPr>
    </w:p>
    <w:p w:rsidR="0068315F" w:rsidRDefault="0068315F" w:rsidP="0068315F">
      <w:pPr>
        <w:autoSpaceDE w:val="0"/>
        <w:autoSpaceDN w:val="0"/>
        <w:adjustRightInd w:val="0"/>
        <w:ind w:left="720"/>
      </w:pPr>
      <w:r w:rsidRPr="00641D02">
        <w:t>(B) Because USS1 Note is treated as stock for federal tax purposes when it is</w:t>
      </w:r>
      <w:r>
        <w:t xml:space="preserve"> </w:t>
      </w:r>
      <w:r w:rsidRPr="00641D02">
        <w:t xml:space="preserve">issued by USS1, USS1 Note is not treated as property for purposes of </w:t>
      </w:r>
      <w:r>
        <w:t>Section</w:t>
      </w:r>
      <w:r w:rsidRPr="00641D02">
        <w:t xml:space="preserve"> 304(a)</w:t>
      </w:r>
      <w:r>
        <w:t xml:space="preserve"> </w:t>
      </w:r>
      <w:r w:rsidRPr="00641D02">
        <w:t xml:space="preserve">because it is not property within the meaning specified in </w:t>
      </w:r>
      <w:r>
        <w:t>Section</w:t>
      </w:r>
      <w:r w:rsidRPr="00641D02">
        <w:t xml:space="preserve"> 317(a). Therefore,</w:t>
      </w:r>
      <w:r>
        <w:t xml:space="preserve"> </w:t>
      </w:r>
      <w:r w:rsidRPr="00641D02">
        <w:t>USS1’s acquisition of FS stock from FP in exchange for USS1 Note is not an acquisition</w:t>
      </w:r>
      <w:r>
        <w:t xml:space="preserve"> </w:t>
      </w:r>
      <w:r w:rsidRPr="00641D02">
        <w:t xml:space="preserve">described in </w:t>
      </w:r>
      <w:r>
        <w:t>Section</w:t>
      </w:r>
      <w:r w:rsidRPr="00641D02">
        <w:t xml:space="preserve"> 304(a</w:t>
      </w:r>
      <w:proofErr w:type="gramStart"/>
      <w:r w:rsidRPr="00641D02">
        <w:t>)(</w:t>
      </w:r>
      <w:proofErr w:type="gramEnd"/>
      <w:r w:rsidRPr="00641D02">
        <w:t>1).</w:t>
      </w:r>
    </w:p>
    <w:p w:rsidR="0068315F" w:rsidRPr="00641D02" w:rsidRDefault="0068315F" w:rsidP="0068315F">
      <w:pPr>
        <w:autoSpaceDE w:val="0"/>
        <w:autoSpaceDN w:val="0"/>
        <w:adjustRightInd w:val="0"/>
        <w:ind w:left="720"/>
      </w:pPr>
    </w:p>
    <w:p w:rsidR="0068315F" w:rsidRDefault="002E2A77" w:rsidP="0068315F">
      <w:pPr>
        <w:autoSpaceDE w:val="0"/>
        <w:autoSpaceDN w:val="0"/>
        <w:adjustRightInd w:val="0"/>
        <w:ind w:left="720"/>
        <w:rPr>
          <w:rFonts w:ascii="Arial" w:hAnsi="Arial" w:cs="Arial"/>
        </w:rPr>
      </w:pPr>
      <w:r>
        <w:t>©</w:t>
      </w:r>
      <w:r w:rsidR="0068315F" w:rsidRPr="00641D02">
        <w:t xml:space="preserve"> Because USS1 Note is treated as stock for federal tax purposes when it is</w:t>
      </w:r>
      <w:r w:rsidR="0068315F">
        <w:t xml:space="preserve"> </w:t>
      </w:r>
      <w:r w:rsidR="0068315F" w:rsidRPr="00641D02">
        <w:t>issued by USS1, USS1 Note is not treated as indebtedness for purposes of applying</w:t>
      </w:r>
      <w:r w:rsidR="0068315F">
        <w:t xml:space="preserve"> </w:t>
      </w:r>
      <w:r w:rsidR="0068315F" w:rsidRPr="00641D02">
        <w:t xml:space="preserve">paragraph (b)(3) of this </w:t>
      </w:r>
      <w:r w:rsidR="0068315F">
        <w:t>Section</w:t>
      </w:r>
      <w:r w:rsidR="0068315F" w:rsidRPr="00641D02">
        <w:t>.</w:t>
      </w:r>
      <w:r w:rsidR="0068315F" w:rsidRPr="00C43519">
        <w:t xml:space="preserve"> </w:t>
      </w:r>
      <w:r w:rsidR="0068315F">
        <w:rPr>
          <w:rFonts w:ascii="Arial" w:hAnsi="Arial" w:cs="Arial"/>
        </w:rPr>
        <w:t xml:space="preserve"> </w:t>
      </w:r>
    </w:p>
    <w:p w:rsidR="00605042" w:rsidRDefault="002E2A77" w:rsidP="00DD54AA">
      <w:pPr>
        <w:pStyle w:val="Heading5"/>
        <w:numPr>
          <w:ilvl w:val="5"/>
          <w:numId w:val="1"/>
        </w:numPr>
      </w:pPr>
      <w:bookmarkStart w:id="110" w:name="_Toc449442022"/>
      <w:r>
        <w:t>THE ENDO NOTE FOR STOCK INVERSION</w:t>
      </w:r>
      <w:bookmarkEnd w:id="110"/>
    </w:p>
    <w:p w:rsidR="00BA3F09" w:rsidRDefault="00605042" w:rsidP="00DD0BED">
      <w:pPr>
        <w:autoSpaceDE w:val="0"/>
        <w:autoSpaceDN w:val="0"/>
        <w:adjustRightInd w:val="0"/>
      </w:pPr>
      <w:r w:rsidRPr="007154BF">
        <w:t xml:space="preserve">Another illustration of how the second prong </w:t>
      </w:r>
      <w:r w:rsidR="007154BF">
        <w:t>operates can be seen from a review of the</w:t>
      </w:r>
      <w:r w:rsidR="000A7FD6">
        <w:t xml:space="preserve"> 2014</w:t>
      </w:r>
      <w:r w:rsidR="007154BF">
        <w:t xml:space="preserve"> </w:t>
      </w:r>
      <w:r w:rsidR="00CE7510">
        <w:t xml:space="preserve">inversion in which </w:t>
      </w:r>
      <w:r w:rsidRPr="007154BF">
        <w:t xml:space="preserve">Endo, a publicly held U.S. corporation, </w:t>
      </w:r>
      <w:r w:rsidR="009C0E00">
        <w:t xml:space="preserve">and </w:t>
      </w:r>
      <w:r w:rsidRPr="007154BF">
        <w:t>Paladin, a publicly held Canadian corporation</w:t>
      </w:r>
      <w:r w:rsidR="009C0E00">
        <w:t>, were combined under a</w:t>
      </w:r>
      <w:r w:rsidR="00DD0BED">
        <w:t xml:space="preserve"> newly </w:t>
      </w:r>
      <w:r w:rsidR="00BA3F09">
        <w:t>formed Irish holding corporation, New Endo.</w:t>
      </w:r>
      <w:r w:rsidR="00FF128D">
        <w:rPr>
          <w:rStyle w:val="FootnoteReference"/>
        </w:rPr>
        <w:footnoteReference w:id="33"/>
      </w:r>
      <w:r w:rsidR="00DD0BED">
        <w:t xml:space="preserve">  </w:t>
      </w:r>
      <w:r w:rsidR="00BA3F09">
        <w:t>The Arrangement Agreement in the Endo inversion,</w:t>
      </w:r>
      <w:r w:rsidR="00BA3F09">
        <w:rPr>
          <w:rStyle w:val="FootnoteReference"/>
        </w:rPr>
        <w:footnoteReference w:id="34"/>
      </w:r>
      <w:r w:rsidR="00BA3F09">
        <w:t xml:space="preserve"> which was the combination agreement, provide</w:t>
      </w:r>
      <w:r w:rsidR="00F17F7D">
        <w:t>d</w:t>
      </w:r>
      <w:r w:rsidR="00BA3F09">
        <w:t xml:space="preserve"> for the acquisition by a newly formed Irish holding company (</w:t>
      </w:r>
      <w:proofErr w:type="spellStart"/>
      <w:r w:rsidR="00BA3F09">
        <w:t>IrishCo</w:t>
      </w:r>
      <w:proofErr w:type="spellEnd"/>
      <w:r w:rsidR="00BA3F09">
        <w:t xml:space="preserve"> a.k.a. New Endo) of: </w:t>
      </w:r>
    </w:p>
    <w:p w:rsidR="00BA3F09" w:rsidRDefault="00BA3F09" w:rsidP="009C0E00">
      <w:pPr>
        <w:ind w:left="720"/>
      </w:pPr>
      <w:r>
        <w:t xml:space="preserve">(1) Paladin pursuant to an “arrangement” under Canadian law, and </w:t>
      </w:r>
    </w:p>
    <w:p w:rsidR="00BA3F09" w:rsidRDefault="00BA3F09" w:rsidP="009C0E00">
      <w:pPr>
        <w:ind w:left="720"/>
      </w:pPr>
      <w:r>
        <w:t>(2) Endo through a triangular B reorganization under Section 368(a</w:t>
      </w:r>
      <w:proofErr w:type="gramStart"/>
      <w:r>
        <w:t>)(</w:t>
      </w:r>
      <w:proofErr w:type="gramEnd"/>
      <w:r>
        <w:t>1)(B).</w:t>
      </w:r>
    </w:p>
    <w:p w:rsidR="000A7FD6" w:rsidRDefault="000A7FD6" w:rsidP="000A7FD6"/>
    <w:p w:rsidR="00BA3F09" w:rsidRDefault="00BA3F09" w:rsidP="000A7FD6">
      <w:r>
        <w:t>Pursuant to the arrangement, the public shareholders of Paladin receive</w:t>
      </w:r>
      <w:r w:rsidR="00F17F7D">
        <w:t>d</w:t>
      </w:r>
      <w:r>
        <w:t xml:space="preserve"> approximately 23% of the stock of New Endo.  This part of the transaction is not discussed further here.  </w:t>
      </w:r>
    </w:p>
    <w:p w:rsidR="00B00224" w:rsidRDefault="00B00224" w:rsidP="00B00224"/>
    <w:p w:rsidR="00847ECF" w:rsidRDefault="00BA3F09" w:rsidP="00B00224">
      <w:r w:rsidRPr="00C50A60">
        <w:t xml:space="preserve">The triangular B reorganization </w:t>
      </w:r>
      <w:r w:rsidR="00F17F7D">
        <w:t xml:space="preserve">was </w:t>
      </w:r>
      <w:r w:rsidRPr="00C50A60">
        <w:t xml:space="preserve">implemented by Section 2.2 of the Arrangement Agreement, which is entitled “Merger.”  Under this provision, the stock of Endo </w:t>
      </w:r>
      <w:r w:rsidR="00B00224">
        <w:t xml:space="preserve">was </w:t>
      </w:r>
      <w:r w:rsidRPr="00C50A60">
        <w:t xml:space="preserve">acquired by </w:t>
      </w:r>
      <w:proofErr w:type="spellStart"/>
      <w:r w:rsidRPr="00C50A60">
        <w:t>DE</w:t>
      </w:r>
      <w:proofErr w:type="gramStart"/>
      <w:r w:rsidRPr="00C50A60">
        <w:t>,Inc</w:t>
      </w:r>
      <w:proofErr w:type="spellEnd"/>
      <w:proofErr w:type="gramEnd"/>
      <w:r w:rsidRPr="00C50A60">
        <w:t>.</w:t>
      </w:r>
      <w:r>
        <w:t xml:space="preserve"> </w:t>
      </w:r>
      <w:r w:rsidRPr="00C50A60">
        <w:t>(a.k.a. Endo U.S. Inc.),</w:t>
      </w:r>
      <w:r>
        <w:t xml:space="preserve"> a Delaware corporation and </w:t>
      </w:r>
      <w:r w:rsidRPr="00C50A60">
        <w:t>wholly owned sub of New Endo</w:t>
      </w:r>
      <w:r w:rsidR="00B00224">
        <w:t xml:space="preserve">, the Irish holding company.  </w:t>
      </w:r>
      <w:r w:rsidR="00986D3C">
        <w:t xml:space="preserve">As a first step, </w:t>
      </w:r>
      <w:r>
        <w:t>Endo U.S. Inc. issue</w:t>
      </w:r>
      <w:r w:rsidR="00847ECF">
        <w:t>d</w:t>
      </w:r>
      <w:r>
        <w:t xml:space="preserve"> its </w:t>
      </w:r>
      <w:r w:rsidRPr="00847ECF">
        <w:t>note</w:t>
      </w:r>
      <w:r w:rsidR="00986D3C">
        <w:t xml:space="preserve"> to New Endo</w:t>
      </w:r>
      <w:r>
        <w:t xml:space="preserve"> in exchange for the stock of New Endo.</w:t>
      </w:r>
      <w:r w:rsidR="00FE7A77">
        <w:t xml:space="preserve">  This note for stock issue is discussed further below.  </w:t>
      </w:r>
      <w:r w:rsidR="00847ECF">
        <w:t xml:space="preserve">  </w:t>
      </w:r>
    </w:p>
    <w:p w:rsidR="00847ECF" w:rsidRDefault="00847ECF" w:rsidP="00847ECF"/>
    <w:p w:rsidR="00D02BA9" w:rsidRDefault="00BA3F09" w:rsidP="00133D80">
      <w:r w:rsidRPr="00C50A60">
        <w:t>The acquisition of Endo by Endo U.S. Inc</w:t>
      </w:r>
      <w:r>
        <w:t>.</w:t>
      </w:r>
      <w:r w:rsidRPr="00C50A60">
        <w:t xml:space="preserve"> </w:t>
      </w:r>
      <w:r w:rsidR="00367133">
        <w:t xml:space="preserve">was </w:t>
      </w:r>
      <w:r w:rsidRPr="00C50A60">
        <w:t>effectuated by a</w:t>
      </w:r>
      <w:r>
        <w:t xml:space="preserve"> </w:t>
      </w:r>
      <w:r w:rsidRPr="00C50A60">
        <w:t>reverse subsidiary merger in which Merger Sub, a</w:t>
      </w:r>
      <w:r>
        <w:t xml:space="preserve"> Delaware </w:t>
      </w:r>
      <w:r w:rsidRPr="00C50A60">
        <w:t xml:space="preserve">LLC that </w:t>
      </w:r>
      <w:r w:rsidR="00367133">
        <w:t xml:space="preserve">was </w:t>
      </w:r>
      <w:r w:rsidRPr="00C50A60">
        <w:t>wholly owned</w:t>
      </w:r>
      <w:r>
        <w:t xml:space="preserve"> by</w:t>
      </w:r>
      <w:r w:rsidRPr="00C50A60">
        <w:t xml:space="preserve"> Endo U.S. Inc.</w:t>
      </w:r>
      <w:r>
        <w:t>,</w:t>
      </w:r>
      <w:r w:rsidRPr="00C50A60">
        <w:t xml:space="preserve"> merge</w:t>
      </w:r>
      <w:r w:rsidR="00367133">
        <w:t>d</w:t>
      </w:r>
      <w:r w:rsidRPr="00C50A60">
        <w:t xml:space="preserve"> into Endo with (1) the public shareholders of Endo receiving for their Endo shares voting shares of </w:t>
      </w:r>
      <w:r w:rsidRPr="00C50A60">
        <w:lastRenderedPageBreak/>
        <w:t>New Endo, and (2) Endo U.S. Inc</w:t>
      </w:r>
      <w:r>
        <w:t xml:space="preserve">. holding </w:t>
      </w:r>
      <w:r w:rsidRPr="00C50A60">
        <w:t>all of the shares of Endo</w:t>
      </w:r>
      <w:r>
        <w:t>.  Thus, when the dust settle</w:t>
      </w:r>
      <w:r w:rsidR="00367133">
        <w:t>d</w:t>
      </w:r>
      <w:r>
        <w:t xml:space="preserve"> on the Endo side of the transaction, (1) Endo bec</w:t>
      </w:r>
      <w:r w:rsidR="00F767A4">
        <w:t>a</w:t>
      </w:r>
      <w:r>
        <w:t>me a wholly-owned subsidiary of Endo U.S. Inc., which is a wholly-owned subsidiary of New Endo, the Irish holding company, and (2) the public shareholders of Endo end</w:t>
      </w:r>
      <w:r w:rsidR="00367133">
        <w:t>ed</w:t>
      </w:r>
      <w:r>
        <w:t xml:space="preserve"> up owning approximately 77% of the stock of New Endo.</w:t>
      </w:r>
      <w:r w:rsidR="00342F25">
        <w:t xml:space="preserve">  </w:t>
      </w:r>
    </w:p>
    <w:p w:rsidR="00D02BA9" w:rsidRDefault="00D02BA9" w:rsidP="00133D80"/>
    <w:p w:rsidR="00E7615F" w:rsidRDefault="00342F25" w:rsidP="00133D80">
      <w:r>
        <w:t xml:space="preserve">Since, the Endo shareholders owned less than 80%, New Endo was not treated </w:t>
      </w:r>
      <w:r w:rsidR="0020400B">
        <w:t xml:space="preserve">under Section 7874 </w:t>
      </w:r>
      <w:r>
        <w:t>as a U.S. corporation</w:t>
      </w:r>
      <w:r w:rsidR="0020400B">
        <w:t xml:space="preserve">; however, </w:t>
      </w:r>
      <w:r w:rsidR="00561166">
        <w:t xml:space="preserve">since the Endo shareholders owned more than 60% of the stock of New Endo, </w:t>
      </w:r>
      <w:r w:rsidR="0020400B">
        <w:t>the inversion gain rule of Section 7874 applied</w:t>
      </w:r>
      <w:r>
        <w:t>.</w:t>
      </w:r>
      <w:r w:rsidR="00561166">
        <w:t xml:space="preserve">  As pointed out in my </w:t>
      </w:r>
      <w:r w:rsidR="00561166" w:rsidRPr="00E7615F">
        <w:rPr>
          <w:i/>
        </w:rPr>
        <w:t xml:space="preserve">Joe </w:t>
      </w:r>
      <w:proofErr w:type="spellStart"/>
      <w:r w:rsidR="00561166" w:rsidRPr="00E7615F">
        <w:rPr>
          <w:i/>
        </w:rPr>
        <w:t>Fraizer</w:t>
      </w:r>
      <w:proofErr w:type="spellEnd"/>
      <w:r w:rsidR="00561166" w:rsidRPr="00E7615F">
        <w:rPr>
          <w:i/>
        </w:rPr>
        <w:t xml:space="preserve"> Left Hook</w:t>
      </w:r>
      <w:r w:rsidR="00561166">
        <w:t xml:space="preserve"> article, </w:t>
      </w:r>
      <w:r w:rsidR="00E7615F">
        <w:t>Endo</w:t>
      </w:r>
      <w:r w:rsidR="000C18E3">
        <w:t>,</w:t>
      </w:r>
      <w:r w:rsidR="009472DE">
        <w:t xml:space="preserve"> through the use of the Killer B regulations,</w:t>
      </w:r>
      <w:r w:rsidR="00E7615F">
        <w:t xml:space="preserve"> presumably was able to avoid the Section 367(a) gain recognition rule for </w:t>
      </w:r>
      <w:proofErr w:type="gramStart"/>
      <w:r w:rsidR="00E7615F">
        <w:t>its shareholders</w:t>
      </w:r>
      <w:r w:rsidR="00BB7227">
        <w:t xml:space="preserve"> (which generally applies</w:t>
      </w:r>
      <w:proofErr w:type="gramEnd"/>
      <w:r w:rsidR="00BB7227">
        <w:t xml:space="preserve"> when the U.S. shareholders own more than 50% and less than 80% of the new </w:t>
      </w:r>
      <w:r w:rsidR="000C18E3">
        <w:t xml:space="preserve">foreign </w:t>
      </w:r>
      <w:r w:rsidR="00BB7227">
        <w:t>holding company)</w:t>
      </w:r>
      <w:r w:rsidR="009472DE">
        <w:t>.  T</w:t>
      </w:r>
      <w:r w:rsidR="00E7615F">
        <w:t xml:space="preserve">his issue is not discussed further here.  </w:t>
      </w:r>
    </w:p>
    <w:p w:rsidR="00E7615F" w:rsidRDefault="00E7615F" w:rsidP="00133D80"/>
    <w:p w:rsidR="00AE2621" w:rsidRDefault="00BA3F09" w:rsidP="00133D80">
      <w:r>
        <w:t>The transaction presumably qualifie</w:t>
      </w:r>
      <w:r w:rsidR="00133D80">
        <w:t>d</w:t>
      </w:r>
      <w:r>
        <w:t xml:space="preserve"> as a triangular (B)</w:t>
      </w:r>
      <w:r w:rsidR="00F767A4">
        <w:t xml:space="preserve"> reorganization</w:t>
      </w:r>
      <w:r w:rsidR="00792645">
        <w:t xml:space="preserve"> under the parenthetical under Section 368(a</w:t>
      </w:r>
      <w:proofErr w:type="gramStart"/>
      <w:r w:rsidR="00792645">
        <w:t>)(</w:t>
      </w:r>
      <w:proofErr w:type="gramEnd"/>
      <w:r w:rsidR="00792645">
        <w:t>1)(B)</w:t>
      </w:r>
      <w:r>
        <w:t xml:space="preserve"> because the consideration paid by Endo U.S. Inc. in the merger of Merger Sub, an LLC, into Endo </w:t>
      </w:r>
      <w:r w:rsidR="00133D80">
        <w:t xml:space="preserve">was </w:t>
      </w:r>
      <w:r>
        <w:t>solely voting stock of New Endo, the parent of Endo U.S. Inc.</w:t>
      </w:r>
      <w:r w:rsidR="00133D80">
        <w:t xml:space="preserve"> </w:t>
      </w:r>
    </w:p>
    <w:p w:rsidR="00AE2621" w:rsidRDefault="00AE2621" w:rsidP="00133D80"/>
    <w:p w:rsidR="00D42E34" w:rsidRDefault="00AE2621" w:rsidP="00D42E34">
      <w:r>
        <w:t>The only apparent reason for the issuance by Endo U.S. of its note for the stock of New Endo was to set up the potential for interest stripping</w:t>
      </w:r>
      <w:r w:rsidR="004B5FFB">
        <w:t xml:space="preserve">.  The </w:t>
      </w:r>
      <w:r w:rsidR="004D02BC">
        <w:t xml:space="preserve">triangular (B) reorganization </w:t>
      </w:r>
      <w:r w:rsidR="004B5FFB">
        <w:t>could have been completed with New Endo</w:t>
      </w:r>
      <w:r w:rsidR="00C46643">
        <w:t xml:space="preserve"> either (1) </w:t>
      </w:r>
      <w:r w:rsidR="00EB3F85">
        <w:t>issuing its stock for stock of Endo U.S.</w:t>
      </w:r>
      <w:r w:rsidR="002A3F74">
        <w:t xml:space="preserve">, which would then have caused that </w:t>
      </w:r>
      <w:r w:rsidR="000030E6">
        <w:t xml:space="preserve">New Endo </w:t>
      </w:r>
      <w:r w:rsidR="002A3F74">
        <w:t>stock to be issued in the reverse subsidiary merger</w:t>
      </w:r>
      <w:r w:rsidR="00C46643">
        <w:t>,</w:t>
      </w:r>
      <w:r w:rsidR="00EB3F85">
        <w:t xml:space="preserve"> or </w:t>
      </w:r>
      <w:r w:rsidR="00C46643">
        <w:t xml:space="preserve">(2) </w:t>
      </w:r>
      <w:r w:rsidR="00EB3F85">
        <w:t xml:space="preserve">issuing its stock directly to the shareholders of </w:t>
      </w:r>
      <w:r w:rsidR="00C46643">
        <w:t>E</w:t>
      </w:r>
      <w:r w:rsidR="00EB3F85">
        <w:t>ndo in the reverse subsidiary merger.</w:t>
      </w:r>
      <w:r w:rsidR="00C7315E">
        <w:t xml:space="preserve">  The issuance of the note was not integral to the triangular (B).</w:t>
      </w:r>
      <w:r w:rsidR="00A05BC4">
        <w:t xml:space="preserve">  </w:t>
      </w:r>
      <w:r w:rsidR="002A3F74">
        <w:t>I</w:t>
      </w:r>
      <w:r w:rsidR="00D42E34">
        <w:t>f this transaction were to take place today, under the Exchange Prong of the Basic Debt-Treated- As-Stock rules, this note would be treated as stock assuming that neither the current E&amp;P nor Threshold exception</w:t>
      </w:r>
      <w:r w:rsidR="00CB1723">
        <w:t>s</w:t>
      </w:r>
      <w:r w:rsidR="00D42E34">
        <w:t xml:space="preserve"> applied.     </w:t>
      </w:r>
    </w:p>
    <w:p w:rsidR="00133D80" w:rsidRDefault="00AE2621" w:rsidP="00133D80">
      <w:r>
        <w:t xml:space="preserve">  </w:t>
      </w:r>
      <w:r w:rsidR="00133D80">
        <w:t xml:space="preserve"> </w:t>
      </w:r>
    </w:p>
    <w:p w:rsidR="00BA3F09" w:rsidRDefault="00BA3F09" w:rsidP="00133D80">
      <w:r>
        <w:t>The Endo Proxy/Prospectus gives the following</w:t>
      </w:r>
      <w:r w:rsidR="00CB1723">
        <w:t xml:space="preserve"> thinly </w:t>
      </w:r>
      <w:r w:rsidR="00A43E9D">
        <w:t>veiled</w:t>
      </w:r>
      <w:r w:rsidR="00CB1723">
        <w:t xml:space="preserve"> </w:t>
      </w:r>
      <w:r w:rsidR="003E18A3">
        <w:t xml:space="preserve">tax avoidance </w:t>
      </w:r>
      <w:r>
        <w:t>explanation</w:t>
      </w:r>
      <w:r w:rsidR="00051EBC">
        <w:t xml:space="preserve">s </w:t>
      </w:r>
      <w:r w:rsidR="00917F46">
        <w:t>(</w:t>
      </w:r>
      <w:r w:rsidR="00051EBC">
        <w:t xml:space="preserve">including of the </w:t>
      </w:r>
      <w:r w:rsidR="003E18A3">
        <w:t>note issued by Endo U.S.</w:t>
      </w:r>
      <w:r w:rsidR="00917F46">
        <w:t xml:space="preserve">) </w:t>
      </w:r>
      <w:r>
        <w:t xml:space="preserve">for incorporating the holding company in Ireland: </w:t>
      </w:r>
    </w:p>
    <w:p w:rsidR="00CB1723" w:rsidRDefault="00CB1723" w:rsidP="00133D80"/>
    <w:p w:rsidR="00BA3F09" w:rsidRPr="0051526D" w:rsidRDefault="00BA3F09" w:rsidP="009C0E00">
      <w:pPr>
        <w:ind w:firstLine="720"/>
        <w:rPr>
          <w:vanish/>
        </w:rPr>
      </w:pPr>
    </w:p>
    <w:tbl>
      <w:tblPr>
        <w:tblW w:w="5000" w:type="pct"/>
        <w:tblCellMar>
          <w:left w:w="0" w:type="dxa"/>
          <w:right w:w="0" w:type="dxa"/>
        </w:tblCellMar>
        <w:tblLook w:val="04A0" w:firstRow="1" w:lastRow="0" w:firstColumn="1" w:lastColumn="0" w:noHBand="0" w:noVBand="1"/>
      </w:tblPr>
      <w:tblGrid>
        <w:gridCol w:w="375"/>
        <w:gridCol w:w="374"/>
        <w:gridCol w:w="8611"/>
      </w:tblGrid>
      <w:tr w:rsidR="00BA3F09" w:rsidRPr="0051526D" w:rsidTr="0097332F">
        <w:tc>
          <w:tcPr>
            <w:tcW w:w="200" w:type="pct"/>
            <w:vAlign w:val="center"/>
            <w:hideMark/>
          </w:tcPr>
          <w:p w:rsidR="00BA3F09" w:rsidRPr="0051526D" w:rsidRDefault="00BA3F09" w:rsidP="009C0E00">
            <w:pPr>
              <w:ind w:firstLine="720"/>
            </w:pPr>
          </w:p>
        </w:tc>
        <w:tc>
          <w:tcPr>
            <w:tcW w:w="200" w:type="pct"/>
            <w:hideMark/>
          </w:tcPr>
          <w:p w:rsidR="00BA3F09" w:rsidRPr="0051526D" w:rsidRDefault="00BA3F09" w:rsidP="009C0E00">
            <w:pPr>
              <w:ind w:firstLine="720"/>
            </w:pPr>
            <w:r>
              <w:t>A</w:t>
            </w:r>
          </w:p>
        </w:tc>
        <w:tc>
          <w:tcPr>
            <w:tcW w:w="0" w:type="auto"/>
            <w:hideMark/>
          </w:tcPr>
          <w:p w:rsidR="00BA3F09" w:rsidRPr="0051526D" w:rsidRDefault="00BA3F09" w:rsidP="00A05BC4">
            <w:r w:rsidRPr="0051526D">
              <w:t>Incorporating New Endo in Ireland is expected to result in significant benefits to New Endo. These benefits include enhanced global cash management flexibility</w:t>
            </w:r>
            <w:r w:rsidR="00A43E9D">
              <w:t xml:space="preserve"> </w:t>
            </w:r>
            <w:r w:rsidR="00A43E9D" w:rsidRPr="00A43E9D">
              <w:rPr>
                <w:b/>
              </w:rPr>
              <w:t>[</w:t>
            </w:r>
            <w:r w:rsidR="00A43E9D" w:rsidRPr="00A43E9D">
              <w:rPr>
                <w:b/>
                <w:i/>
              </w:rPr>
              <w:t>i.e.,</w:t>
            </w:r>
            <w:r w:rsidR="00A43E9D" w:rsidRPr="00A43E9D">
              <w:rPr>
                <w:b/>
              </w:rPr>
              <w:t xml:space="preserve"> hop scotch loans]</w:t>
            </w:r>
            <w:r w:rsidRPr="0051526D">
              <w:t xml:space="preserve"> and associated financial benefits to the combined enterprise</w:t>
            </w:r>
            <w:r>
              <w:t xml:space="preserve"> </w:t>
            </w:r>
            <w:r w:rsidRPr="00CB1723">
              <w:rPr>
                <w:b/>
              </w:rPr>
              <w:t>[</w:t>
            </w:r>
            <w:r w:rsidRPr="003E18A3">
              <w:rPr>
                <w:b/>
                <w:i/>
              </w:rPr>
              <w:t>e.g</w:t>
            </w:r>
            <w:r w:rsidRPr="00CB1723">
              <w:rPr>
                <w:b/>
              </w:rPr>
              <w:t>., interest stripping]</w:t>
            </w:r>
            <w:r w:rsidRPr="0051526D">
              <w:t>, as well as increased global liquidity and cash flow among the various entities of the combined enterprise. In addition, Ireland is a beneficial location for establishing a differentiated platform for further international expansion through an operating base in Ireland and a strong financial profile to support expansion into international markets</w:t>
            </w:r>
            <w:r>
              <w:t xml:space="preserve"> </w:t>
            </w:r>
            <w:r w:rsidRPr="003E18A3">
              <w:rPr>
                <w:b/>
              </w:rPr>
              <w:t>[</w:t>
            </w:r>
            <w:r w:rsidRPr="003E18A3">
              <w:rPr>
                <w:b/>
                <w:i/>
              </w:rPr>
              <w:t>i.e</w:t>
            </w:r>
            <w:r w:rsidRPr="003E18A3">
              <w:rPr>
                <w:b/>
              </w:rPr>
              <w:t xml:space="preserve">., </w:t>
            </w:r>
            <w:r w:rsidR="00FF128D">
              <w:rPr>
                <w:b/>
              </w:rPr>
              <w:t xml:space="preserve">future </w:t>
            </w:r>
            <w:r w:rsidRPr="003E18A3">
              <w:rPr>
                <w:b/>
              </w:rPr>
              <w:t>avoidance of the CFC provisions]</w:t>
            </w:r>
            <w:r w:rsidRPr="0051526D">
              <w:t>. Also, Endo estimates that New Endo is expected to realize $75 million of post-tax synergies on a twelve-month basis at some point following the close of the transactions.</w:t>
            </w:r>
            <w:r>
              <w:rPr>
                <w:rStyle w:val="FootnoteReference"/>
              </w:rPr>
              <w:footnoteReference w:id="35"/>
            </w:r>
          </w:p>
        </w:tc>
      </w:tr>
    </w:tbl>
    <w:p w:rsidR="00623436" w:rsidRDefault="003A275B" w:rsidP="00292484">
      <w:pPr>
        <w:pStyle w:val="Heading4"/>
      </w:pPr>
      <w:bookmarkStart w:id="111" w:name="_Toc449442023"/>
      <w:r>
        <w:t>THE THIRD PRONG, INTERNAL REORGANIZATION</w:t>
      </w:r>
      <w:bookmarkEnd w:id="111"/>
      <w:r>
        <w:t xml:space="preserve"> </w:t>
      </w:r>
    </w:p>
    <w:p w:rsidR="00FD3E48" w:rsidRPr="00196EFA" w:rsidRDefault="00FD3E48" w:rsidP="00FD3E48">
      <w:pPr>
        <w:pStyle w:val="Heading5"/>
      </w:pPr>
      <w:bookmarkStart w:id="112" w:name="_Toc449442024"/>
      <w:r>
        <w:t>GENERAL PRINCIPLES</w:t>
      </w:r>
      <w:bookmarkEnd w:id="112"/>
    </w:p>
    <w:p w:rsidR="00623436" w:rsidRDefault="00623436" w:rsidP="00623436">
      <w:r>
        <w:lastRenderedPageBreak/>
        <w:t xml:space="preserve">The preamble to the 2016 Section 385 </w:t>
      </w:r>
      <w:proofErr w:type="spellStart"/>
      <w:r>
        <w:t>Regs</w:t>
      </w:r>
      <w:proofErr w:type="spellEnd"/>
      <w:r>
        <w:t xml:space="preserve"> elaborates as follows on the third prong, which is in §1.385-3(b)(2)(iii), the Internal Reorganization prong:    </w:t>
      </w:r>
    </w:p>
    <w:p w:rsidR="00623436" w:rsidRDefault="00623436" w:rsidP="00623436"/>
    <w:p w:rsidR="00DC2D5D" w:rsidRDefault="00DC2D5D" w:rsidP="00156EEE">
      <w:pPr>
        <w:ind w:left="720"/>
      </w:pPr>
      <w:r w:rsidRPr="00DC2D5D">
        <w:t>The third prong of the general rule applies to asset reorganizations among</w:t>
      </w:r>
      <w:r w:rsidR="009626E8">
        <w:t xml:space="preserve"> </w:t>
      </w:r>
      <w:r w:rsidRPr="00DC2D5D">
        <w:t>corporations that are members of the same expanded group.</w:t>
      </w:r>
      <w:r w:rsidR="00292484">
        <w:t xml:space="preserve">  </w:t>
      </w:r>
      <w:r w:rsidR="00292484" w:rsidRPr="00292484">
        <w:rPr>
          <w:b/>
        </w:rPr>
        <w:t>[Thus, it does not apply to asset reorganizations between unrelated corporations.]</w:t>
      </w:r>
      <w:r w:rsidRPr="00DC2D5D">
        <w:t xml:space="preserve"> An asset reorganization is</w:t>
      </w:r>
      <w:r w:rsidR="009626E8">
        <w:t xml:space="preserve"> </w:t>
      </w:r>
      <w:r w:rsidRPr="00DC2D5D">
        <w:t xml:space="preserve">a reorganization within the meaning of </w:t>
      </w:r>
      <w:r w:rsidR="000F192E">
        <w:t>Section</w:t>
      </w:r>
      <w:r w:rsidRPr="00DC2D5D">
        <w:t xml:space="preserve"> 368(a</w:t>
      </w:r>
      <w:proofErr w:type="gramStart"/>
      <w:r w:rsidRPr="00DC2D5D">
        <w:t>)(</w:t>
      </w:r>
      <w:proofErr w:type="gramEnd"/>
      <w:r w:rsidRPr="00DC2D5D">
        <w:t>1)(A), (C), (D), (F), or (G).</w:t>
      </w:r>
      <w:r w:rsidR="00AB6A44">
        <w:t xml:space="preserve">  </w:t>
      </w:r>
      <w:r w:rsidRPr="00DC2D5D">
        <w:t>Specifically, the third prong of the general rule applies to a debt instrument issued in</w:t>
      </w:r>
      <w:r w:rsidR="00AB6A44">
        <w:t xml:space="preserve"> </w:t>
      </w:r>
      <w:r w:rsidRPr="00DC2D5D">
        <w:t>exchange for property in an asset reorganization, but only to the extent that, pursuant to</w:t>
      </w:r>
      <w:r w:rsidR="00AB6A44">
        <w:t xml:space="preserve"> </w:t>
      </w:r>
      <w:r w:rsidRPr="00DC2D5D">
        <w:t>the plan of reorganization, a shareholder that is a member of the issuer’s expanded</w:t>
      </w:r>
      <w:r w:rsidR="00AB6A44">
        <w:t xml:space="preserve"> </w:t>
      </w:r>
      <w:r w:rsidRPr="00DC2D5D">
        <w:t>group immediately before the reorganization receives the debt instrument with respect</w:t>
      </w:r>
      <w:r w:rsidR="00AB6A44">
        <w:t xml:space="preserve"> </w:t>
      </w:r>
      <w:r w:rsidRPr="00DC2D5D">
        <w:t>to its stock in the transferor corporation. The second step receipt of the debt instrument</w:t>
      </w:r>
      <w:r w:rsidR="00AB6A44">
        <w:t xml:space="preserve"> </w:t>
      </w:r>
      <w:r w:rsidRPr="00DC2D5D">
        <w:t>by the expanded group shareholder could be in the form of a distribution of the debt</w:t>
      </w:r>
      <w:r w:rsidR="00AB6A44">
        <w:t xml:space="preserve"> </w:t>
      </w:r>
      <w:r w:rsidRPr="00DC2D5D">
        <w:t xml:space="preserve">instrument to shareholders of the distributing corporation in </w:t>
      </w:r>
      <w:proofErr w:type="gramStart"/>
      <w:r w:rsidRPr="00DC2D5D">
        <w:t>a divisive</w:t>
      </w:r>
      <w:proofErr w:type="gramEnd"/>
      <w:r w:rsidRPr="00DC2D5D">
        <w:t xml:space="preserve"> asset</w:t>
      </w:r>
      <w:r w:rsidR="00AB6A44">
        <w:t xml:space="preserve"> </w:t>
      </w:r>
      <w:r w:rsidRPr="00DC2D5D">
        <w:t>reorganization, or in redemption of the shareholder’s stock in the transferor corporation</w:t>
      </w:r>
      <w:r w:rsidR="00AB6A44">
        <w:t xml:space="preserve"> </w:t>
      </w:r>
      <w:r w:rsidRPr="00DC2D5D">
        <w:t>in an acquisitive asset reorganization. Because the third prong of the general rule</w:t>
      </w:r>
      <w:r w:rsidR="0049652E">
        <w:t xml:space="preserve"> </w:t>
      </w:r>
      <w:r w:rsidRPr="00DC2D5D">
        <w:t>applies only to a debt instrument that is received by a shareholder with respect to its</w:t>
      </w:r>
      <w:r w:rsidR="0049652E">
        <w:t xml:space="preserve"> </w:t>
      </w:r>
      <w:r w:rsidRPr="00DC2D5D">
        <w:t>stock in the transferor corporation, that debt instrument would, absent the application of</w:t>
      </w:r>
      <w:r w:rsidR="0049652E">
        <w:t xml:space="preserve"> </w:t>
      </w:r>
      <w:r w:rsidRPr="00DC2D5D">
        <w:t xml:space="preserve">§1.385-3, be treated as “other property” within the meaning of </w:t>
      </w:r>
      <w:r w:rsidR="000F192E">
        <w:t>Section</w:t>
      </w:r>
      <w:r w:rsidRPr="00DC2D5D">
        <w:t xml:space="preserve"> 356.</w:t>
      </w:r>
    </w:p>
    <w:p w:rsidR="0049652E" w:rsidRPr="00DC2D5D" w:rsidRDefault="0049652E" w:rsidP="00156EEE">
      <w:pPr>
        <w:ind w:left="720"/>
      </w:pPr>
    </w:p>
    <w:p w:rsidR="00DC2D5D" w:rsidRDefault="00DC2D5D" w:rsidP="00156EEE">
      <w:pPr>
        <w:ind w:left="720"/>
      </w:pPr>
      <w:r w:rsidRPr="00DC2D5D">
        <w:t>The third prong of the general rule is limited to debt instruments distributed to</w:t>
      </w:r>
      <w:r w:rsidR="0049652E">
        <w:t xml:space="preserve"> </w:t>
      </w:r>
      <w:r w:rsidRPr="00DC2D5D">
        <w:t>shareholders pursuant to the reorganization, and does not apply to debt instruments</w:t>
      </w:r>
      <w:r w:rsidR="00156EEE">
        <w:t xml:space="preserve"> </w:t>
      </w:r>
      <w:r w:rsidRPr="00DC2D5D">
        <w:t>exchanged for securities or other debt interests because, in that latter case, the newly</w:t>
      </w:r>
      <w:r w:rsidR="00156EEE">
        <w:t xml:space="preserve"> </w:t>
      </w:r>
      <w:r w:rsidRPr="00DC2D5D">
        <w:t>issued debt instrument is exchanged for existing debt interests and thus no additional</w:t>
      </w:r>
      <w:r w:rsidR="00156EEE">
        <w:t xml:space="preserve"> </w:t>
      </w:r>
      <w:r w:rsidRPr="00DC2D5D">
        <w:t>debt is incurred by the parties to the reorganization</w:t>
      </w:r>
      <w:r w:rsidR="00156EEE">
        <w:t>.</w:t>
      </w:r>
      <w:r w:rsidR="00156EEE">
        <w:rPr>
          <w:rStyle w:val="FootnoteReference"/>
        </w:rPr>
        <w:footnoteReference w:id="36"/>
      </w:r>
    </w:p>
    <w:p w:rsidR="003A275B" w:rsidRDefault="003A275B" w:rsidP="00DD54AA">
      <w:pPr>
        <w:pStyle w:val="Heading5"/>
        <w:numPr>
          <w:ilvl w:val="4"/>
          <w:numId w:val="8"/>
        </w:numPr>
      </w:pPr>
      <w:bookmarkStart w:id="113" w:name="_Toc449442025"/>
      <w:r>
        <w:t>ILLUSTRATION OF THE THIRD PRONG</w:t>
      </w:r>
      <w:bookmarkEnd w:id="113"/>
    </w:p>
    <w:p w:rsidR="00B52201" w:rsidRDefault="00B52201" w:rsidP="00B52201">
      <w:r>
        <w:t xml:space="preserve">The following is an illustration of how this Internal Reorganization prong applies.  Assume that </w:t>
      </w:r>
      <w:r w:rsidR="00B5001F">
        <w:t xml:space="preserve">Foreign Parent owns all of the stock of U.S. Sub 1 and U.S. Sub 2.  </w:t>
      </w:r>
      <w:r w:rsidR="00931478">
        <w:t>In a</w:t>
      </w:r>
      <w:r w:rsidR="00EA3AFB">
        <w:t>n</w:t>
      </w:r>
      <w:r w:rsidR="00931478">
        <w:t xml:space="preserve"> internal reorganization under Section 368(a</w:t>
      </w:r>
      <w:proofErr w:type="gramStart"/>
      <w:r w:rsidR="00931478">
        <w:t>)(</w:t>
      </w:r>
      <w:proofErr w:type="gramEnd"/>
      <w:r w:rsidR="00931478">
        <w:t xml:space="preserve">1)(C), </w:t>
      </w:r>
      <w:r w:rsidR="00B5001F">
        <w:t>U.S. Sub 1 transfers all of</w:t>
      </w:r>
      <w:r w:rsidR="00931478">
        <w:t xml:space="preserve"> its assets and liabilities to U.S. Sub 2</w:t>
      </w:r>
      <w:r w:rsidR="00EA3AFB">
        <w:t xml:space="preserve"> in exchange for stock of U.S. Sub 2 and a note of U.S. Sub 2.  </w:t>
      </w:r>
      <w:r w:rsidR="00580AE2">
        <w:t xml:space="preserve">Pursuant to the reorganization, </w:t>
      </w:r>
      <w:r w:rsidR="008A2EBA">
        <w:t>U.S. Sub 1 then liquidates, distributing the stock and note of U.S. Sub 2 to Foreign Parent.</w:t>
      </w:r>
      <w:r w:rsidR="00580AE2">
        <w:t xml:space="preserve">  </w:t>
      </w:r>
      <w:r w:rsidR="00AE61E3">
        <w:t>In such case, t</w:t>
      </w:r>
      <w:r w:rsidR="00580AE2">
        <w:t>he note is treated a stock, because a</w:t>
      </w:r>
      <w:r w:rsidR="00B42F7A">
        <w:t>s stated in the above excerpt from the preamble: “[T]</w:t>
      </w:r>
      <w:r w:rsidR="00B42F7A" w:rsidRPr="00DC2D5D">
        <w:t>he third prong of the general rule applies to a debt instrument</w:t>
      </w:r>
      <w:r w:rsidR="00215C0B">
        <w:t xml:space="preserve"> </w:t>
      </w:r>
      <w:r w:rsidR="00215C0B" w:rsidRPr="00215C0B">
        <w:rPr>
          <w:b/>
        </w:rPr>
        <w:t>[</w:t>
      </w:r>
      <w:r w:rsidR="00215C0B" w:rsidRPr="00215C0B">
        <w:rPr>
          <w:b/>
          <w:i/>
        </w:rPr>
        <w:t>i.e</w:t>
      </w:r>
      <w:r w:rsidR="00215C0B" w:rsidRPr="00215C0B">
        <w:rPr>
          <w:b/>
        </w:rPr>
        <w:t xml:space="preserve">., U.S. Sub </w:t>
      </w:r>
      <w:r w:rsidR="00215C0B">
        <w:rPr>
          <w:b/>
        </w:rPr>
        <w:t>2</w:t>
      </w:r>
      <w:r w:rsidR="00215C0B" w:rsidRPr="00215C0B">
        <w:rPr>
          <w:b/>
        </w:rPr>
        <w:t>’s note]</w:t>
      </w:r>
      <w:r w:rsidR="00215C0B">
        <w:t xml:space="preserve"> </w:t>
      </w:r>
      <w:r w:rsidR="00B42F7A" w:rsidRPr="00DC2D5D">
        <w:t>issued in</w:t>
      </w:r>
      <w:r w:rsidR="00B42F7A">
        <w:t xml:space="preserve"> </w:t>
      </w:r>
      <w:r w:rsidR="00B42F7A" w:rsidRPr="00DC2D5D">
        <w:t>exchange for property in an asset reorganization</w:t>
      </w:r>
      <w:r w:rsidR="00B411D3">
        <w:t xml:space="preserve"> </w:t>
      </w:r>
      <w:r w:rsidR="00B411D3" w:rsidRPr="00215C0B">
        <w:rPr>
          <w:b/>
        </w:rPr>
        <w:t>[</w:t>
      </w:r>
      <w:r w:rsidR="00B411D3" w:rsidRPr="00215C0B">
        <w:rPr>
          <w:b/>
          <w:i/>
        </w:rPr>
        <w:t>i.e</w:t>
      </w:r>
      <w:r w:rsidR="00B411D3" w:rsidRPr="00215C0B">
        <w:rPr>
          <w:b/>
        </w:rPr>
        <w:t xml:space="preserve">., U.S. Sub </w:t>
      </w:r>
      <w:r w:rsidR="00B411D3">
        <w:rPr>
          <w:b/>
        </w:rPr>
        <w:t>1</w:t>
      </w:r>
      <w:r w:rsidR="00B411D3" w:rsidRPr="00215C0B">
        <w:rPr>
          <w:b/>
        </w:rPr>
        <w:t xml:space="preserve">’s </w:t>
      </w:r>
      <w:r w:rsidR="00B411D3">
        <w:rPr>
          <w:b/>
        </w:rPr>
        <w:t>assets</w:t>
      </w:r>
      <w:r w:rsidR="00B411D3" w:rsidRPr="00215C0B">
        <w:rPr>
          <w:b/>
        </w:rPr>
        <w:t>]</w:t>
      </w:r>
      <w:r w:rsidR="00B42F7A" w:rsidRPr="00DC2D5D">
        <w:t>, but only to the extent that, pursuant to</w:t>
      </w:r>
      <w:r w:rsidR="00B42F7A">
        <w:t xml:space="preserve"> </w:t>
      </w:r>
      <w:r w:rsidR="00B42F7A" w:rsidRPr="00DC2D5D">
        <w:t>the plan of reorganization, a shareholder that is a member of the issuer’s expanded</w:t>
      </w:r>
      <w:r w:rsidR="00B42F7A">
        <w:t xml:space="preserve"> </w:t>
      </w:r>
      <w:r w:rsidR="00B42F7A" w:rsidRPr="00DC2D5D">
        <w:t>group immediately before the reorganization</w:t>
      </w:r>
      <w:r w:rsidR="00B411D3">
        <w:t xml:space="preserve"> </w:t>
      </w:r>
      <w:r w:rsidR="00B411D3" w:rsidRPr="00B411D3">
        <w:rPr>
          <w:b/>
        </w:rPr>
        <w:t>[</w:t>
      </w:r>
      <w:r w:rsidR="00B411D3" w:rsidRPr="00B411D3">
        <w:rPr>
          <w:b/>
          <w:i/>
        </w:rPr>
        <w:t>i.e</w:t>
      </w:r>
      <w:r w:rsidR="00B411D3" w:rsidRPr="00B411D3">
        <w:rPr>
          <w:b/>
        </w:rPr>
        <w:t>., Foreign Parent]</w:t>
      </w:r>
      <w:r w:rsidR="00B42F7A" w:rsidRPr="00DC2D5D">
        <w:t xml:space="preserve"> receives the debt instrument </w:t>
      </w:r>
      <w:r w:rsidR="00AE61E3" w:rsidRPr="00215C0B">
        <w:rPr>
          <w:b/>
        </w:rPr>
        <w:t>[</w:t>
      </w:r>
      <w:r w:rsidR="00AE61E3" w:rsidRPr="00215C0B">
        <w:rPr>
          <w:b/>
          <w:i/>
        </w:rPr>
        <w:t>i.e</w:t>
      </w:r>
      <w:r w:rsidR="00AE61E3" w:rsidRPr="00215C0B">
        <w:rPr>
          <w:b/>
        </w:rPr>
        <w:t xml:space="preserve">., U.S. Sub </w:t>
      </w:r>
      <w:r w:rsidR="00AE61E3">
        <w:rPr>
          <w:b/>
        </w:rPr>
        <w:t>2</w:t>
      </w:r>
      <w:r w:rsidR="00AE61E3" w:rsidRPr="00215C0B">
        <w:rPr>
          <w:b/>
        </w:rPr>
        <w:t>’s note]</w:t>
      </w:r>
      <w:r w:rsidR="00AE61E3">
        <w:t xml:space="preserve"> </w:t>
      </w:r>
      <w:r w:rsidR="00B42F7A" w:rsidRPr="00DC2D5D">
        <w:t>with respect</w:t>
      </w:r>
      <w:r w:rsidR="00B42F7A">
        <w:t xml:space="preserve"> </w:t>
      </w:r>
      <w:r w:rsidR="00B42F7A" w:rsidRPr="00DC2D5D">
        <w:t>to its stock in the transferor corporation</w:t>
      </w:r>
      <w:r w:rsidR="00FF386E">
        <w:t xml:space="preserve"> </w:t>
      </w:r>
      <w:r w:rsidR="00FF386E" w:rsidRPr="00215C0B">
        <w:rPr>
          <w:b/>
        </w:rPr>
        <w:t>[</w:t>
      </w:r>
      <w:r w:rsidR="00FF386E" w:rsidRPr="00215C0B">
        <w:rPr>
          <w:b/>
          <w:i/>
        </w:rPr>
        <w:t>i.e</w:t>
      </w:r>
      <w:r w:rsidR="00FF386E" w:rsidRPr="00215C0B">
        <w:rPr>
          <w:b/>
        </w:rPr>
        <w:t xml:space="preserve">., U.S. Sub </w:t>
      </w:r>
      <w:r w:rsidR="00FF386E">
        <w:rPr>
          <w:b/>
        </w:rPr>
        <w:t>1</w:t>
      </w:r>
      <w:r w:rsidR="00FF386E" w:rsidRPr="00215C0B">
        <w:rPr>
          <w:b/>
        </w:rPr>
        <w:t>]</w:t>
      </w:r>
      <w:r w:rsidR="00B42F7A" w:rsidRPr="00DC2D5D">
        <w:t xml:space="preserve">. </w:t>
      </w:r>
      <w:r w:rsidR="008A2EBA">
        <w:t xml:space="preserve">  </w:t>
      </w:r>
      <w:r w:rsidR="00B5001F">
        <w:t xml:space="preserve"> </w:t>
      </w:r>
    </w:p>
    <w:p w:rsidR="00CD38F8" w:rsidRDefault="00CD38F8" w:rsidP="00BB5B6C">
      <w:pPr>
        <w:pStyle w:val="Heading3"/>
      </w:pPr>
      <w:bookmarkStart w:id="114" w:name="_Toc449442026"/>
      <w:r>
        <w:t>TREATED AS COMMON OR PREFERRED STOCK FOR ALL PURPOSES</w:t>
      </w:r>
      <w:bookmarkEnd w:id="114"/>
      <w:r>
        <w:t xml:space="preserve"> </w:t>
      </w:r>
    </w:p>
    <w:p w:rsidR="00CD38F8" w:rsidRDefault="00CD38F8" w:rsidP="00CD38F8">
      <w:r>
        <w:t xml:space="preserve">The preamble to the 2016 Section 385 </w:t>
      </w:r>
      <w:proofErr w:type="spellStart"/>
      <w:r>
        <w:t>Regs</w:t>
      </w:r>
      <w:proofErr w:type="spellEnd"/>
      <w:r>
        <w:t xml:space="preserve"> </w:t>
      </w:r>
      <w:r w:rsidR="00383999">
        <w:t xml:space="preserve">discusses </w:t>
      </w:r>
      <w:r>
        <w:t xml:space="preserve">as follows </w:t>
      </w:r>
      <w:r w:rsidR="00383999">
        <w:t xml:space="preserve">the impact of the </w:t>
      </w:r>
      <w:r w:rsidR="00756738">
        <w:t>Basic Debt-Treated- As-Stock rules:</w:t>
      </w:r>
      <w:r>
        <w:t xml:space="preserve">   </w:t>
      </w:r>
    </w:p>
    <w:p w:rsidR="00CD38F8" w:rsidRDefault="00CD38F8" w:rsidP="00CD38F8"/>
    <w:p w:rsidR="00CD38F8" w:rsidRPr="00B1618D" w:rsidRDefault="00CD38F8" w:rsidP="00CD38F8">
      <w:pPr>
        <w:ind w:left="720"/>
      </w:pPr>
      <w:r w:rsidRPr="00B1618D">
        <w:t>To the extent proposed §1.385-3 treats an interest as stock, the interest is</w:t>
      </w:r>
      <w:r>
        <w:t xml:space="preserve"> </w:t>
      </w:r>
      <w:r w:rsidRPr="00B1618D">
        <w:t>treated as stock for all federal tax purposes. Consistent with the traditional case law</w:t>
      </w:r>
      <w:r>
        <w:t xml:space="preserve"> </w:t>
      </w:r>
      <w:r w:rsidRPr="00B1618D">
        <w:t>debt-equity analysis, when a debt instrument is treated as stock under proposed</w:t>
      </w:r>
      <w:r>
        <w:t xml:space="preserve"> </w:t>
      </w:r>
      <w:r w:rsidRPr="00B1618D">
        <w:t>§1.385-3, the terms of the debt instrument (for example, voting rights or conversion</w:t>
      </w:r>
      <w:r>
        <w:t xml:space="preserve"> </w:t>
      </w:r>
      <w:r w:rsidRPr="00B1618D">
        <w:t>features) are taken into account for purposes of determining the type of stock resulting</w:t>
      </w:r>
      <w:r>
        <w:t xml:space="preserve"> </w:t>
      </w:r>
      <w:r w:rsidRPr="00B1618D">
        <w:t xml:space="preserve">from the </w:t>
      </w:r>
      <w:proofErr w:type="spellStart"/>
      <w:r w:rsidRPr="00B1618D">
        <w:t>recharacterization</w:t>
      </w:r>
      <w:proofErr w:type="spellEnd"/>
      <w:r w:rsidRPr="00B1618D">
        <w:t>, including whether such stock is preferred stock or common</w:t>
      </w:r>
      <w:r>
        <w:t xml:space="preserve"> </w:t>
      </w:r>
      <w:r w:rsidRPr="00B1618D">
        <w:t>stock.</w:t>
      </w:r>
      <w:r>
        <w:rPr>
          <w:rStyle w:val="FootnoteReference"/>
        </w:rPr>
        <w:footnoteReference w:id="37"/>
      </w:r>
    </w:p>
    <w:p w:rsidR="00BB5B6C" w:rsidRDefault="000735BD" w:rsidP="00BB5B6C">
      <w:pPr>
        <w:pStyle w:val="Heading3"/>
      </w:pPr>
      <w:bookmarkStart w:id="115" w:name="_Toc449442027"/>
      <w:r>
        <w:t xml:space="preserve">THE </w:t>
      </w:r>
      <w:r w:rsidR="00C721C6">
        <w:t xml:space="preserve">E&amp;P AND THRESHOLD </w:t>
      </w:r>
      <w:r>
        <w:t>EXCEPTIONS TO THE BASIC DEBT-TREATED-AS-STOCK</w:t>
      </w:r>
      <w:r w:rsidRPr="004E3BFA">
        <w:t xml:space="preserve"> RULES </w:t>
      </w:r>
      <w:r>
        <w:t>RULE</w:t>
      </w:r>
      <w:bookmarkEnd w:id="115"/>
    </w:p>
    <w:p w:rsidR="005D5A4B" w:rsidRPr="005D5A4B" w:rsidRDefault="005D5A4B" w:rsidP="005D5A4B">
      <w:pPr>
        <w:pStyle w:val="Heading4"/>
      </w:pPr>
      <w:bookmarkStart w:id="116" w:name="_Toc449442028"/>
      <w:r>
        <w:t>INTRODUCTION</w:t>
      </w:r>
      <w:bookmarkEnd w:id="116"/>
    </w:p>
    <w:p w:rsidR="00023CDE" w:rsidRDefault="00724FEE" w:rsidP="00044C74">
      <w:pPr>
        <w:autoSpaceDE w:val="0"/>
        <w:autoSpaceDN w:val="0"/>
        <w:adjustRightInd w:val="0"/>
      </w:pPr>
      <w:r w:rsidRPr="004E3BFA">
        <w:t>Section</w:t>
      </w:r>
      <w:r w:rsidR="007A01F6" w:rsidRPr="004E3BFA">
        <w:t xml:space="preserve"> 1.385-3(b</w:t>
      </w:r>
      <w:proofErr w:type="gramStart"/>
      <w:r w:rsidR="007A01F6" w:rsidRPr="004E3BFA">
        <w:t>)(</w:t>
      </w:r>
      <w:proofErr w:type="gramEnd"/>
      <w:r w:rsidR="007A01F6" w:rsidRPr="004E3BFA">
        <w:t xml:space="preserve">2) says that the </w:t>
      </w:r>
      <w:r w:rsidR="00143CD8">
        <w:t>Basic Debt-Treated-As-Stock</w:t>
      </w:r>
      <w:r w:rsidRPr="004E3BFA">
        <w:t xml:space="preserve"> Rules</w:t>
      </w:r>
      <w:r w:rsidR="007A01F6" w:rsidRPr="004E3BFA">
        <w:t xml:space="preserve"> apply </w:t>
      </w:r>
      <w:r w:rsidR="00044C74" w:rsidRPr="004E3BFA">
        <w:t>“[e]</w:t>
      </w:r>
      <w:proofErr w:type="spellStart"/>
      <w:r w:rsidR="00044C74" w:rsidRPr="004E3BFA">
        <w:t>xcept</w:t>
      </w:r>
      <w:proofErr w:type="spellEnd"/>
      <w:r w:rsidR="00044C74" w:rsidRPr="004E3BFA">
        <w:t xml:space="preserve"> as provided in paragraphs (c)</w:t>
      </w:r>
      <w:r w:rsidR="008D1DD1" w:rsidRPr="004E3BFA">
        <w:t xml:space="preserve"> </w:t>
      </w:r>
      <w:r w:rsidR="008D1DD1" w:rsidRPr="004E3BFA">
        <w:rPr>
          <w:b/>
        </w:rPr>
        <w:t xml:space="preserve">[exceptions for current year E&amp;P, </w:t>
      </w:r>
      <w:r w:rsidR="00ED47BB" w:rsidRPr="004E3BFA">
        <w:rPr>
          <w:b/>
        </w:rPr>
        <w:t>threshold, and certain funded acquisitions of a sub’s stock</w:t>
      </w:r>
      <w:r w:rsidR="008D1DD1" w:rsidRPr="004E3BFA">
        <w:rPr>
          <w:b/>
        </w:rPr>
        <w:t>]</w:t>
      </w:r>
      <w:r w:rsidR="00044C74" w:rsidRPr="004E3BFA">
        <w:t xml:space="preserve"> and (e)</w:t>
      </w:r>
      <w:r w:rsidR="004A3429" w:rsidRPr="004E3BFA">
        <w:t xml:space="preserve"> </w:t>
      </w:r>
      <w:r w:rsidR="004A3429" w:rsidRPr="004E3BFA">
        <w:rPr>
          <w:b/>
        </w:rPr>
        <w:t>[no affirmative use]</w:t>
      </w:r>
      <w:r w:rsidR="00ED47BB" w:rsidRPr="004E3BFA">
        <w:t xml:space="preserve"> </w:t>
      </w:r>
      <w:r w:rsidR="00044C74" w:rsidRPr="004E3BFA">
        <w:t xml:space="preserve"> of this section and in §1.385-4</w:t>
      </w:r>
      <w:r w:rsidR="004A3429" w:rsidRPr="004E3BFA">
        <w:t xml:space="preserve"> </w:t>
      </w:r>
      <w:r w:rsidR="004A3429" w:rsidRPr="00023CDE">
        <w:rPr>
          <w:b/>
        </w:rPr>
        <w:t>[treatment of consolidated groups]</w:t>
      </w:r>
      <w:r w:rsidR="00044C74" w:rsidRPr="004E3BFA">
        <w:t>[.]</w:t>
      </w:r>
      <w:r w:rsidR="008D1DD1" w:rsidRPr="004E3BFA">
        <w:t>.</w:t>
      </w:r>
      <w:r w:rsidR="00044C74" w:rsidRPr="004E3BFA">
        <w:t>”</w:t>
      </w:r>
      <w:r w:rsidR="002E7E46">
        <w:t xml:space="preserve">  Only the current year E&amp;P and the threshold exceptions are discussed here because they relate specifically to the Basic Debt-Treated-As-Stock</w:t>
      </w:r>
      <w:r w:rsidR="002E7E46" w:rsidRPr="004E3BFA">
        <w:t xml:space="preserve"> Rules</w:t>
      </w:r>
      <w:r w:rsidR="002E7E46">
        <w:t xml:space="preserve">. </w:t>
      </w:r>
      <w:r w:rsidR="00044C74" w:rsidRPr="004E3BFA">
        <w:t xml:space="preserve">   </w:t>
      </w:r>
    </w:p>
    <w:p w:rsidR="005D5A4B" w:rsidRDefault="009D039C" w:rsidP="005D5A4B">
      <w:pPr>
        <w:pStyle w:val="Heading4"/>
      </w:pPr>
      <w:bookmarkStart w:id="117" w:name="_Toc449442029"/>
      <w:r>
        <w:t xml:space="preserve">THE E&amp;P AND </w:t>
      </w:r>
      <w:r w:rsidR="00907CE0">
        <w:t xml:space="preserve">THRESHOLD EXCEPTIONS IN </w:t>
      </w:r>
      <w:r w:rsidR="00907CE0" w:rsidRPr="004E3BFA">
        <w:t>1.385-3(b</w:t>
      </w:r>
      <w:proofErr w:type="gramStart"/>
      <w:r w:rsidR="00907CE0" w:rsidRPr="004E3BFA">
        <w:t>)(</w:t>
      </w:r>
      <w:proofErr w:type="gramEnd"/>
      <w:r w:rsidR="00907CE0" w:rsidRPr="004E3BFA">
        <w:t>2)</w:t>
      </w:r>
      <w:r w:rsidR="00907CE0">
        <w:t>(c)</w:t>
      </w:r>
      <w:bookmarkEnd w:id="117"/>
    </w:p>
    <w:p w:rsidR="00907CE0" w:rsidRDefault="00563FDD" w:rsidP="00907CE0">
      <w:r w:rsidRPr="004E3BFA">
        <w:t>Section 1.385-3</w:t>
      </w:r>
      <w:r>
        <w:t>(</w:t>
      </w:r>
      <w:r w:rsidR="008C4121">
        <w:t>c</w:t>
      </w:r>
      <w:r>
        <w:t xml:space="preserve">) </w:t>
      </w:r>
      <w:r w:rsidR="00907CE0">
        <w:t>set</w:t>
      </w:r>
      <w:r w:rsidR="005A76EB">
        <w:t>s</w:t>
      </w:r>
      <w:r w:rsidR="00907CE0">
        <w:t xml:space="preserve"> out </w:t>
      </w:r>
      <w:r w:rsidR="00907CE0" w:rsidRPr="00553800">
        <w:t>three exceptions</w:t>
      </w:r>
      <w:r w:rsidR="005D6C7B">
        <w:t>,</w:t>
      </w:r>
      <w:r w:rsidR="005A76EB">
        <w:t xml:space="preserve"> two of which </w:t>
      </w:r>
      <w:r w:rsidR="008C4121">
        <w:t xml:space="preserve">are exceptions to the </w:t>
      </w:r>
      <w:r w:rsidR="00143CD8">
        <w:t xml:space="preserve">Basic </w:t>
      </w:r>
      <w:r w:rsidR="008C4121" w:rsidRPr="004E3BFA">
        <w:t>Debt-Treated-As-Stock Rules</w:t>
      </w:r>
      <w:r w:rsidR="008C4121">
        <w:t xml:space="preserve"> of  </w:t>
      </w:r>
      <w:r w:rsidR="00593F43">
        <w:t>§</w:t>
      </w:r>
      <w:r w:rsidR="008C4121" w:rsidRPr="004E3BFA">
        <w:t>1.385-3(b)(2)</w:t>
      </w:r>
      <w:r w:rsidR="002C23BD">
        <w:t>.  Th</w:t>
      </w:r>
      <w:r w:rsidR="005D6C7B">
        <w:t xml:space="preserve">e </w:t>
      </w:r>
      <w:r w:rsidR="00907CE0">
        <w:t xml:space="preserve">preamble to the 2016 Section 385 </w:t>
      </w:r>
      <w:proofErr w:type="spellStart"/>
      <w:r w:rsidR="00907CE0">
        <w:t>Regs</w:t>
      </w:r>
      <w:proofErr w:type="spellEnd"/>
      <w:r w:rsidR="00907CE0">
        <w:t xml:space="preserve"> gives the followi</w:t>
      </w:r>
      <w:r w:rsidR="002C23BD">
        <w:t>ng basic description of the two</w:t>
      </w:r>
      <w:r w:rsidR="00907CE0">
        <w:t xml:space="preserve"> exceptions</w:t>
      </w:r>
      <w:r w:rsidR="002C23BD">
        <w:t xml:space="preserve"> to the</w:t>
      </w:r>
      <w:r w:rsidR="00143CD8">
        <w:t xml:space="preserve"> Basic-</w:t>
      </w:r>
      <w:r w:rsidR="00143CD8" w:rsidRPr="004E3BFA">
        <w:t>Debt-Treated-As-Stock Rules</w:t>
      </w:r>
      <w:r w:rsidR="00907CE0">
        <w:t xml:space="preserve">: </w:t>
      </w:r>
    </w:p>
    <w:p w:rsidR="00907CE0" w:rsidRDefault="00907CE0" w:rsidP="00907CE0"/>
    <w:p w:rsidR="00907CE0" w:rsidRPr="00553800" w:rsidRDefault="00907CE0" w:rsidP="00907CE0">
      <w:pPr>
        <w:ind w:left="720"/>
      </w:pPr>
      <w:r w:rsidRPr="00553800">
        <w:t>1. Exception for Current Year Earnings and Profits</w:t>
      </w:r>
    </w:p>
    <w:p w:rsidR="00907CE0" w:rsidRDefault="00907CE0" w:rsidP="00907CE0">
      <w:pPr>
        <w:ind w:left="720"/>
      </w:pPr>
      <w:r>
        <w:t>[P]</w:t>
      </w:r>
      <w:proofErr w:type="spellStart"/>
      <w:r w:rsidRPr="00553800">
        <w:t>roposed</w:t>
      </w:r>
      <w:proofErr w:type="spellEnd"/>
      <w:r w:rsidRPr="00553800">
        <w:t xml:space="preserve"> §1.385-3(c)(1) includes an</w:t>
      </w:r>
      <w:r>
        <w:t xml:space="preserve"> </w:t>
      </w:r>
      <w:r w:rsidRPr="00553800">
        <w:t>exception pursuant to which distributions and acquisitions described in proposed</w:t>
      </w:r>
      <w:r>
        <w:t xml:space="preserve"> </w:t>
      </w:r>
      <w:r w:rsidRPr="00553800">
        <w:t>§1.385-3(b)(2) (the general rule) or proposed §1.385-3(b)(3)(ii) (the funding rule) that do</w:t>
      </w:r>
      <w:r>
        <w:t xml:space="preserve"> </w:t>
      </w:r>
      <w:r w:rsidRPr="00553800">
        <w:t xml:space="preserve">not exceed current year earnings and profits (as described in </w:t>
      </w:r>
      <w:r>
        <w:t>Section</w:t>
      </w:r>
      <w:r w:rsidRPr="00553800">
        <w:t xml:space="preserve"> 316(a)(2)) of the</w:t>
      </w:r>
      <w:r>
        <w:t xml:space="preserve"> </w:t>
      </w:r>
      <w:r w:rsidRPr="00553800">
        <w:t>distributing or acquiring corporation are not treated as distributions or acquisitions for</w:t>
      </w:r>
      <w:r>
        <w:t xml:space="preserve"> </w:t>
      </w:r>
      <w:r w:rsidRPr="00553800">
        <w:t xml:space="preserve">purposes of the general rule or the funding rule. </w:t>
      </w:r>
      <w:r>
        <w:t xml:space="preserve">. . . </w:t>
      </w:r>
    </w:p>
    <w:p w:rsidR="00907CE0" w:rsidRDefault="00907CE0" w:rsidP="00907CE0">
      <w:pPr>
        <w:ind w:left="720"/>
      </w:pPr>
    </w:p>
    <w:p w:rsidR="00907CE0" w:rsidRPr="00553800" w:rsidRDefault="00907CE0" w:rsidP="00907CE0">
      <w:pPr>
        <w:ind w:left="720"/>
      </w:pPr>
      <w:r w:rsidRPr="00553800">
        <w:t>2. Threshold Exception</w:t>
      </w:r>
    </w:p>
    <w:p w:rsidR="00907CE0" w:rsidRDefault="00907CE0" w:rsidP="00907CE0">
      <w:pPr>
        <w:ind w:left="720"/>
      </w:pPr>
      <w:r w:rsidRPr="00553800">
        <w:t>A second exception provides that an expanded group debt instrument will not be</w:t>
      </w:r>
      <w:r>
        <w:t xml:space="preserve"> </w:t>
      </w:r>
      <w:r w:rsidRPr="00553800">
        <w:t>treated as stock if, when the debt instrument is issued, the aggregate issue price of all</w:t>
      </w:r>
      <w:r>
        <w:t xml:space="preserve"> </w:t>
      </w:r>
      <w:r w:rsidRPr="00553800">
        <w:t>expanded group debt instruments that otherwise would be treated as stock under the</w:t>
      </w:r>
      <w:r>
        <w:t xml:space="preserve"> </w:t>
      </w:r>
      <w:r w:rsidRPr="00553800">
        <w:t>proposed regulations does not exceed $50 million (the threshold exception). If the</w:t>
      </w:r>
      <w:r>
        <w:t xml:space="preserve"> </w:t>
      </w:r>
      <w:r w:rsidRPr="00553800">
        <w:t>expanded group’s debt instruments that otherwise would be treated as stock later</w:t>
      </w:r>
      <w:r>
        <w:t xml:space="preserve"> </w:t>
      </w:r>
      <w:r w:rsidRPr="00553800">
        <w:t>exceed $50 million, then all expanded group debt instruments that, but for the threshold</w:t>
      </w:r>
      <w:r>
        <w:t xml:space="preserve"> </w:t>
      </w:r>
      <w:r w:rsidRPr="00553800">
        <w:t>exception, would have been treated as stock are treated as stock, rather than only the</w:t>
      </w:r>
      <w:r>
        <w:t xml:space="preserve"> </w:t>
      </w:r>
      <w:r w:rsidRPr="00553800">
        <w:t>amount that exceeds $50 million.</w:t>
      </w:r>
      <w:r w:rsidR="00A55219">
        <w:rPr>
          <w:rStyle w:val="FootnoteReference"/>
        </w:rPr>
        <w:footnoteReference w:id="38"/>
      </w:r>
      <w:r>
        <w:t xml:space="preserve"> </w:t>
      </w:r>
    </w:p>
    <w:p w:rsidR="002E7E46" w:rsidRDefault="002E7E46" w:rsidP="00907CE0">
      <w:pPr>
        <w:ind w:left="720"/>
      </w:pPr>
    </w:p>
    <w:p w:rsidR="002E7E46" w:rsidRPr="00881CA2" w:rsidRDefault="00881CA2" w:rsidP="00881CA2">
      <w:r>
        <w:t xml:space="preserve">The rationale behind the Threshold Exception appears clear: it is designed to </w:t>
      </w:r>
      <w:r w:rsidR="00D97A0B">
        <w:t>exempt relatively small issuances of debt from the Basic-</w:t>
      </w:r>
      <w:r w:rsidR="00D97A0B" w:rsidRPr="004E3BFA">
        <w:t>Debt-Treated-As-Stock Rules</w:t>
      </w:r>
      <w:r w:rsidR="00D97A0B">
        <w:t xml:space="preserve">.  However, the rationale for </w:t>
      </w:r>
      <w:r w:rsidR="00D97A0B">
        <w:lastRenderedPageBreak/>
        <w:t xml:space="preserve">the current year E&amp;P exception is less clear, and the preamble does not explain the reason behind the exception.   </w:t>
      </w:r>
    </w:p>
    <w:p w:rsidR="002E7E46" w:rsidRDefault="00866913" w:rsidP="00B34C4A">
      <w:pPr>
        <w:pStyle w:val="Heading2"/>
      </w:pPr>
      <w:bookmarkStart w:id="118" w:name="_Toc449442030"/>
      <w:r>
        <w:t xml:space="preserve">THE FUNDING EXCEPTION RULE AND THE EXCEPTION TO THE </w:t>
      </w:r>
      <w:r w:rsidR="001136D8">
        <w:t xml:space="preserve">FUNDING </w:t>
      </w:r>
      <w:r>
        <w:t>EXCEPTION</w:t>
      </w:r>
      <w:r w:rsidR="001136D8">
        <w:t xml:space="preserve"> RULE</w:t>
      </w:r>
      <w:bookmarkEnd w:id="118"/>
    </w:p>
    <w:p w:rsidR="00AA45A9" w:rsidRDefault="00AA45A9" w:rsidP="00AA45A9">
      <w:pPr>
        <w:pStyle w:val="Heading3"/>
      </w:pPr>
      <w:bookmarkStart w:id="119" w:name="_Toc449442031"/>
      <w:r>
        <w:t>GENERAL EXCEPTION FOR A TRUE FUNDING</w:t>
      </w:r>
      <w:bookmarkEnd w:id="119"/>
    </w:p>
    <w:p w:rsidR="0008024E" w:rsidRDefault="00866913" w:rsidP="00866913">
      <w:pPr>
        <w:autoSpaceDE w:val="0"/>
        <w:autoSpaceDN w:val="0"/>
        <w:adjustRightInd w:val="0"/>
      </w:pPr>
      <w:r w:rsidRPr="00C43519">
        <w:t xml:space="preserve">The </w:t>
      </w:r>
      <w:r w:rsidR="002B24F4">
        <w:t>Basic-</w:t>
      </w:r>
      <w:r w:rsidR="002B24F4" w:rsidRPr="004E3BFA">
        <w:t>Debt-Treated-As-Stock Rules</w:t>
      </w:r>
      <w:r w:rsidR="002B24F4" w:rsidRPr="00C43519">
        <w:t xml:space="preserve"> </w:t>
      </w:r>
      <w:r w:rsidRPr="00C43519">
        <w:t xml:space="preserve">do not apply to a funding transaction where, for example, a foreign parent sets up a new domestic sub and contributes to the sub cash in exchange for </w:t>
      </w:r>
      <w:r w:rsidR="00794875">
        <w:t xml:space="preserve">both </w:t>
      </w:r>
      <w:r w:rsidRPr="00C43519">
        <w:t>stock and debt of the sub.</w:t>
      </w:r>
      <w:r w:rsidR="002B24F4">
        <w:t xml:space="preserve">  As long at the documentation requirements of </w:t>
      </w:r>
      <w:r w:rsidR="002B24F4" w:rsidRPr="00553800">
        <w:t>§1.385-</w:t>
      </w:r>
      <w:r w:rsidR="00460B64">
        <w:t xml:space="preserve">2 are satisfied and the debt is otherwise treated as debt under </w:t>
      </w:r>
      <w:r w:rsidR="00794875">
        <w:t xml:space="preserve">general debt-equity analysis, the debt will be treated as debt.  </w:t>
      </w:r>
      <w:r w:rsidR="00AA45A9">
        <w:t>However, i</w:t>
      </w:r>
      <w:r w:rsidRPr="00C43519">
        <w:t xml:space="preserve">n such case, the </w:t>
      </w:r>
      <w:r>
        <w:t>Section</w:t>
      </w:r>
      <w:r w:rsidRPr="00C43519">
        <w:t xml:space="preserve"> 163(j) interest stripping limitation could apply to the debt instrument.</w:t>
      </w:r>
      <w:r w:rsidR="007A1499">
        <w:t xml:space="preserve">  As discussed below, this funding exception could be used as a way of avoiding </w:t>
      </w:r>
      <w:r w:rsidR="004204A1">
        <w:t xml:space="preserve">the </w:t>
      </w:r>
      <w:r w:rsidR="00EB4351">
        <w:t xml:space="preserve">Basic Debt-Treated- As-Stock rules, and for this reason, the </w:t>
      </w:r>
      <w:r w:rsidR="004D631B">
        <w:t>set out an exception to the funding exception.</w:t>
      </w:r>
      <w:r w:rsidRPr="00C43519">
        <w:t xml:space="preserve">  </w:t>
      </w:r>
    </w:p>
    <w:p w:rsidR="0008024E" w:rsidRDefault="0008024E" w:rsidP="0008024E">
      <w:pPr>
        <w:pStyle w:val="Heading3"/>
      </w:pPr>
      <w:bookmarkStart w:id="120" w:name="_Toc449442032"/>
      <w:r>
        <w:t>EXCEPTION TO THE FUNDING EXCEPTION RULE</w:t>
      </w:r>
      <w:bookmarkEnd w:id="120"/>
    </w:p>
    <w:p w:rsidR="00866913" w:rsidRDefault="0008024E" w:rsidP="00866913">
      <w:pPr>
        <w:autoSpaceDE w:val="0"/>
        <w:autoSpaceDN w:val="0"/>
        <w:adjustRightInd w:val="0"/>
      </w:pPr>
      <w:r>
        <w:t>U</w:t>
      </w:r>
      <w:r w:rsidR="00866913" w:rsidRPr="00C43519">
        <w:t xml:space="preserve">nder </w:t>
      </w:r>
      <w:r w:rsidR="00866913">
        <w:t xml:space="preserve">an anti-abuse </w:t>
      </w:r>
      <w:r w:rsidR="00866913" w:rsidRPr="00C43519">
        <w:t>“Funding rule” in §1.385-3(b</w:t>
      </w:r>
      <w:proofErr w:type="gramStart"/>
      <w:r w:rsidR="00866913" w:rsidRPr="00C43519">
        <w:t>)(</w:t>
      </w:r>
      <w:proofErr w:type="gramEnd"/>
      <w:r w:rsidR="00866913" w:rsidRPr="00C43519">
        <w:t xml:space="preserve">3), “an expanded group debt instrument that is issued with a principal purpose of funding a transaction described in the general rule </w:t>
      </w:r>
      <w:r w:rsidR="00866913" w:rsidRPr="00C43519">
        <w:rPr>
          <w:b/>
        </w:rPr>
        <w:t>[</w:t>
      </w:r>
      <w:r w:rsidR="00900CA3" w:rsidRPr="00900CA3">
        <w:rPr>
          <w:b/>
          <w:i/>
        </w:rPr>
        <w:t>i.e</w:t>
      </w:r>
      <w:r w:rsidR="00900CA3">
        <w:rPr>
          <w:b/>
        </w:rPr>
        <w:t>., Distribution, Exchange, or Internal Asset Reorganization</w:t>
      </w:r>
      <w:r w:rsidR="00866913" w:rsidRPr="00C43519">
        <w:rPr>
          <w:b/>
        </w:rPr>
        <w:t>]</w:t>
      </w:r>
      <w:r w:rsidR="00866913" w:rsidRPr="00C43519">
        <w:t xml:space="preserve"> (principal purpose debt instrument)”  is treated as stock.  This funding rule would apply where, for example, (1) a domestic sub of a foreign parent issues a note to a sister foreign sub in exchange for cash in what appears to be a funding transaction that would not be covered by §1.385-3 , and (2) the domestic sub then distributes the cash to the common foreign parent.  In such case, the note would be a principal purpose debt instrument, and as a consequence, the note would be treated as stock.   </w:t>
      </w:r>
    </w:p>
    <w:p w:rsidR="00576DE1" w:rsidRDefault="00576DE1" w:rsidP="00866913">
      <w:pPr>
        <w:autoSpaceDE w:val="0"/>
        <w:autoSpaceDN w:val="0"/>
        <w:adjustRightInd w:val="0"/>
      </w:pPr>
    </w:p>
    <w:p w:rsidR="009E7333" w:rsidRDefault="009E7333" w:rsidP="009E7333">
      <w:r>
        <w:t xml:space="preserve">The preamble to the 2016 Section 385 </w:t>
      </w:r>
      <w:proofErr w:type="spellStart"/>
      <w:r>
        <w:t>Regs</w:t>
      </w:r>
      <w:proofErr w:type="spellEnd"/>
      <w:r>
        <w:t xml:space="preserve"> gives the following basic description of this funding rule: </w:t>
      </w:r>
    </w:p>
    <w:p w:rsidR="00576DE1" w:rsidRDefault="00576DE1" w:rsidP="00866913">
      <w:pPr>
        <w:autoSpaceDE w:val="0"/>
        <w:autoSpaceDN w:val="0"/>
        <w:adjustRightInd w:val="0"/>
      </w:pPr>
    </w:p>
    <w:p w:rsidR="00E82D52" w:rsidRDefault="00576DE1" w:rsidP="003B612D">
      <w:pPr>
        <w:autoSpaceDE w:val="0"/>
        <w:autoSpaceDN w:val="0"/>
        <w:adjustRightInd w:val="0"/>
        <w:ind w:left="720"/>
      </w:pPr>
      <w:r w:rsidRPr="003B612D">
        <w:t>The funding rule treats as stock an expanded group debt instrument that is</w:t>
      </w:r>
      <w:r w:rsidR="003B612D">
        <w:t xml:space="preserve"> </w:t>
      </w:r>
      <w:r w:rsidRPr="003B612D">
        <w:t>issued with a principal purpose of funding a transaction described in the general rule</w:t>
      </w:r>
      <w:r w:rsidR="003B612D">
        <w:t xml:space="preserve"> </w:t>
      </w:r>
      <w:r w:rsidRPr="003B612D">
        <w:t>(principal purpose debt instrument). Specifically, a principal purpose debt instrument is</w:t>
      </w:r>
      <w:r w:rsidR="003B612D">
        <w:t xml:space="preserve"> </w:t>
      </w:r>
      <w:r w:rsidRPr="003B612D">
        <w:t>a debt instrument issued by a corporation (funded member)</w:t>
      </w:r>
      <w:r w:rsidR="00640156">
        <w:t xml:space="preserve"> </w:t>
      </w:r>
      <w:r w:rsidR="00640156" w:rsidRPr="00640156">
        <w:rPr>
          <w:b/>
        </w:rPr>
        <w:t>[</w:t>
      </w:r>
      <w:r w:rsidR="00640156" w:rsidRPr="00640156">
        <w:rPr>
          <w:b/>
          <w:i/>
        </w:rPr>
        <w:t>e.g</w:t>
      </w:r>
      <w:r w:rsidR="00640156" w:rsidRPr="00640156">
        <w:rPr>
          <w:b/>
        </w:rPr>
        <w:t>., a domestic sub of a foreign parent]</w:t>
      </w:r>
      <w:r w:rsidRPr="00640156">
        <w:rPr>
          <w:b/>
        </w:rPr>
        <w:t xml:space="preserve"> </w:t>
      </w:r>
      <w:r w:rsidRPr="003B612D">
        <w:t>to another member of the</w:t>
      </w:r>
      <w:r w:rsidR="003B612D">
        <w:t xml:space="preserve"> </w:t>
      </w:r>
      <w:r w:rsidRPr="003B612D">
        <w:t>funded member’s expanded group</w:t>
      </w:r>
      <w:r w:rsidR="00A07E7D">
        <w:t xml:space="preserve"> </w:t>
      </w:r>
      <w:r w:rsidR="00A07E7D" w:rsidRPr="00A07E7D">
        <w:rPr>
          <w:b/>
        </w:rPr>
        <w:t>[</w:t>
      </w:r>
      <w:r w:rsidR="00A07E7D" w:rsidRPr="00A07E7D">
        <w:rPr>
          <w:b/>
          <w:i/>
        </w:rPr>
        <w:t>e.g</w:t>
      </w:r>
      <w:r w:rsidR="00A07E7D" w:rsidRPr="00A07E7D">
        <w:rPr>
          <w:b/>
        </w:rPr>
        <w:t>., a foreign sister sub]</w:t>
      </w:r>
      <w:r w:rsidRPr="003B612D">
        <w:t xml:space="preserve"> in exchange for property</w:t>
      </w:r>
      <w:r w:rsidR="00362D3A">
        <w:t xml:space="preserve"> </w:t>
      </w:r>
      <w:r w:rsidR="00362D3A" w:rsidRPr="00362D3A">
        <w:rPr>
          <w:b/>
        </w:rPr>
        <w:t>[e.g., cash]</w:t>
      </w:r>
      <w:r w:rsidRPr="003B612D">
        <w:t xml:space="preserve"> with a principal purpose of</w:t>
      </w:r>
      <w:r w:rsidR="004B1EE1">
        <w:t xml:space="preserve"> </w:t>
      </w:r>
      <w:r w:rsidR="004B1EE1" w:rsidRPr="00EA756E">
        <w:rPr>
          <w:b/>
        </w:rPr>
        <w:t>[subject to certain exceptions</w:t>
      </w:r>
      <w:r w:rsidR="00EA756E">
        <w:rPr>
          <w:b/>
        </w:rPr>
        <w:t xml:space="preserve"> not discussed here</w:t>
      </w:r>
      <w:r w:rsidR="004B1EE1" w:rsidRPr="00EA756E">
        <w:rPr>
          <w:b/>
        </w:rPr>
        <w:t>]</w:t>
      </w:r>
      <w:r w:rsidR="003B612D">
        <w:t xml:space="preserve"> </w:t>
      </w:r>
      <w:r w:rsidRPr="003B612D">
        <w:t xml:space="preserve">funding (1) a </w:t>
      </w:r>
      <w:r w:rsidR="003441FC">
        <w:t>d</w:t>
      </w:r>
      <w:r w:rsidRPr="003B612D">
        <w:t>istribution of property</w:t>
      </w:r>
      <w:r w:rsidR="00362D3A">
        <w:t xml:space="preserve"> </w:t>
      </w:r>
      <w:r w:rsidR="00362D3A" w:rsidRPr="00362D3A">
        <w:rPr>
          <w:b/>
        </w:rPr>
        <w:t xml:space="preserve">[e.g., </w:t>
      </w:r>
      <w:r w:rsidR="00362D3A">
        <w:rPr>
          <w:b/>
        </w:rPr>
        <w:t xml:space="preserve">the </w:t>
      </w:r>
      <w:r w:rsidR="00362D3A" w:rsidRPr="00362D3A">
        <w:rPr>
          <w:b/>
        </w:rPr>
        <w:t>cash]</w:t>
      </w:r>
      <w:r w:rsidRPr="003B612D">
        <w:t xml:space="preserve"> by the funded member</w:t>
      </w:r>
      <w:r w:rsidR="00D227F2">
        <w:t xml:space="preserve"> </w:t>
      </w:r>
      <w:r w:rsidR="00D227F2" w:rsidRPr="00640156">
        <w:rPr>
          <w:b/>
        </w:rPr>
        <w:t>[</w:t>
      </w:r>
      <w:r w:rsidR="00D227F2" w:rsidRPr="00640156">
        <w:rPr>
          <w:b/>
          <w:i/>
        </w:rPr>
        <w:t>e.g</w:t>
      </w:r>
      <w:r w:rsidR="00D227F2" w:rsidRPr="00640156">
        <w:rPr>
          <w:b/>
        </w:rPr>
        <w:t xml:space="preserve">., </w:t>
      </w:r>
      <w:r w:rsidR="00D227F2">
        <w:rPr>
          <w:b/>
        </w:rPr>
        <w:t xml:space="preserve">the </w:t>
      </w:r>
      <w:r w:rsidR="00D227F2" w:rsidRPr="00640156">
        <w:rPr>
          <w:b/>
        </w:rPr>
        <w:t xml:space="preserve">domestic sub of </w:t>
      </w:r>
      <w:r w:rsidR="00D227F2">
        <w:rPr>
          <w:b/>
        </w:rPr>
        <w:t xml:space="preserve">the </w:t>
      </w:r>
      <w:r w:rsidR="00D227F2" w:rsidRPr="00640156">
        <w:rPr>
          <w:b/>
        </w:rPr>
        <w:t xml:space="preserve">foreign parent] </w:t>
      </w:r>
      <w:r w:rsidRPr="003B612D">
        <w:t xml:space="preserve"> to a member of the funded</w:t>
      </w:r>
      <w:r w:rsidR="003441FC">
        <w:t xml:space="preserve"> </w:t>
      </w:r>
      <w:r w:rsidRPr="003B612D">
        <w:t>member’s expanded group</w:t>
      </w:r>
      <w:r w:rsidR="00E352EA">
        <w:t xml:space="preserve"> </w:t>
      </w:r>
      <w:r w:rsidR="00E352EA" w:rsidRPr="00E352EA">
        <w:rPr>
          <w:b/>
        </w:rPr>
        <w:t>[</w:t>
      </w:r>
      <w:r w:rsidR="00E352EA" w:rsidRPr="00E352EA">
        <w:rPr>
          <w:b/>
          <w:i/>
        </w:rPr>
        <w:t>e.g</w:t>
      </w:r>
      <w:r w:rsidR="00E352EA" w:rsidRPr="00E352EA">
        <w:rPr>
          <w:b/>
        </w:rPr>
        <w:t>., the foreign parent]</w:t>
      </w:r>
      <w:r w:rsidR="004B1EE1">
        <w:t xml:space="preserve"> . . . </w:t>
      </w:r>
      <w:r w:rsidRPr="003B612D">
        <w:t>(2) an acquisition of expanded</w:t>
      </w:r>
      <w:r w:rsidR="003441FC">
        <w:t xml:space="preserve"> </w:t>
      </w:r>
      <w:r w:rsidRPr="003B612D">
        <w:t>group stock, other than in an exempt exchange, by the funded member</w:t>
      </w:r>
      <w:r w:rsidR="00B93547">
        <w:t xml:space="preserve"> </w:t>
      </w:r>
      <w:r w:rsidR="00B93547" w:rsidRPr="00640156">
        <w:rPr>
          <w:b/>
        </w:rPr>
        <w:t>[</w:t>
      </w:r>
      <w:r w:rsidR="00B93547" w:rsidRPr="00640156">
        <w:rPr>
          <w:b/>
          <w:i/>
        </w:rPr>
        <w:t>e.g</w:t>
      </w:r>
      <w:r w:rsidR="00B93547" w:rsidRPr="00640156">
        <w:rPr>
          <w:b/>
        </w:rPr>
        <w:t xml:space="preserve">., </w:t>
      </w:r>
      <w:r w:rsidR="00B93547">
        <w:rPr>
          <w:b/>
        </w:rPr>
        <w:t xml:space="preserve">the </w:t>
      </w:r>
      <w:r w:rsidR="00B93547" w:rsidRPr="00640156">
        <w:rPr>
          <w:b/>
        </w:rPr>
        <w:t xml:space="preserve">domestic sub of </w:t>
      </w:r>
      <w:r w:rsidR="00B93547">
        <w:rPr>
          <w:b/>
        </w:rPr>
        <w:t xml:space="preserve">the </w:t>
      </w:r>
      <w:r w:rsidR="00B93547" w:rsidRPr="00640156">
        <w:rPr>
          <w:b/>
        </w:rPr>
        <w:t>foreign parent]</w:t>
      </w:r>
      <w:r w:rsidRPr="003B612D">
        <w:t xml:space="preserve"> from a member</w:t>
      </w:r>
      <w:r w:rsidR="003441FC">
        <w:t xml:space="preserve"> </w:t>
      </w:r>
      <w:r w:rsidRPr="003B612D">
        <w:t>of the funded member’s expanded group</w:t>
      </w:r>
      <w:r w:rsidR="00B93547">
        <w:t xml:space="preserve"> </w:t>
      </w:r>
      <w:r w:rsidR="00B93547" w:rsidRPr="00E352EA">
        <w:rPr>
          <w:b/>
        </w:rPr>
        <w:t>[</w:t>
      </w:r>
      <w:r w:rsidR="00B93547" w:rsidRPr="00E352EA">
        <w:rPr>
          <w:b/>
          <w:i/>
        </w:rPr>
        <w:t>e.g</w:t>
      </w:r>
      <w:r w:rsidR="00B93547" w:rsidRPr="00E352EA">
        <w:rPr>
          <w:b/>
        </w:rPr>
        <w:t>., the foreign parent]</w:t>
      </w:r>
      <w:r w:rsidR="00B93547">
        <w:t xml:space="preserve"> </w:t>
      </w:r>
      <w:r w:rsidRPr="003B612D">
        <w:t>in exchange for property</w:t>
      </w:r>
      <w:r w:rsidR="00F12667">
        <w:t xml:space="preserve"> </w:t>
      </w:r>
      <w:r w:rsidR="00F12667" w:rsidRPr="00362D3A">
        <w:rPr>
          <w:b/>
        </w:rPr>
        <w:t>[</w:t>
      </w:r>
      <w:r w:rsidR="00F12667" w:rsidRPr="00F12667">
        <w:rPr>
          <w:b/>
          <w:i/>
        </w:rPr>
        <w:t>e.g</w:t>
      </w:r>
      <w:r w:rsidR="00F12667" w:rsidRPr="00362D3A">
        <w:rPr>
          <w:b/>
        </w:rPr>
        <w:t xml:space="preserve">., </w:t>
      </w:r>
      <w:r w:rsidR="00F12667">
        <w:rPr>
          <w:b/>
        </w:rPr>
        <w:t xml:space="preserve">the </w:t>
      </w:r>
      <w:r w:rsidR="00F12667" w:rsidRPr="00362D3A">
        <w:rPr>
          <w:b/>
        </w:rPr>
        <w:t>cash]</w:t>
      </w:r>
      <w:r w:rsidR="00F12667" w:rsidRPr="003B612D">
        <w:t xml:space="preserve"> </w:t>
      </w:r>
      <w:r w:rsidRPr="003B612D">
        <w:t>other than expanded</w:t>
      </w:r>
      <w:r w:rsidR="00E07BA5">
        <w:t xml:space="preserve"> </w:t>
      </w:r>
      <w:r w:rsidRPr="003B612D">
        <w:t>group stock; or (3) the acquisition of property by the funded member in an asset</w:t>
      </w:r>
      <w:r w:rsidR="00E07BA5">
        <w:t xml:space="preserve"> </w:t>
      </w:r>
      <w:r w:rsidRPr="003B612D">
        <w:t>reorganization</w:t>
      </w:r>
      <w:r w:rsidR="00E82D52">
        <w:t>[.]</w:t>
      </w:r>
      <w:r w:rsidR="00DF61F1">
        <w:t xml:space="preserve"> . . . </w:t>
      </w:r>
    </w:p>
    <w:p w:rsidR="00375A41" w:rsidRDefault="00375A41" w:rsidP="003B612D">
      <w:pPr>
        <w:autoSpaceDE w:val="0"/>
        <w:autoSpaceDN w:val="0"/>
        <w:adjustRightInd w:val="0"/>
        <w:ind w:left="720"/>
      </w:pPr>
    </w:p>
    <w:p w:rsidR="00576DE1" w:rsidRDefault="00576DE1" w:rsidP="003B612D">
      <w:pPr>
        <w:autoSpaceDE w:val="0"/>
        <w:autoSpaceDN w:val="0"/>
        <w:adjustRightInd w:val="0"/>
        <w:ind w:left="720"/>
      </w:pPr>
      <w:r w:rsidRPr="003B612D">
        <w:t>Prongs (1) through (3) of the funding rule are referred to in this Section 2 as</w:t>
      </w:r>
      <w:r w:rsidR="00E07BA5">
        <w:t xml:space="preserve"> </w:t>
      </w:r>
      <w:r w:rsidRPr="003B612D">
        <w:t>“distributions or acquisitions.” Proposed §1.385-3(b)(3)(iii) provides that, if all or a</w:t>
      </w:r>
      <w:r w:rsidR="005D7BF9">
        <w:t xml:space="preserve"> </w:t>
      </w:r>
      <w:r w:rsidRPr="003B612D">
        <w:lastRenderedPageBreak/>
        <w:t>portion of a distribution or acquisition by a funded member is described in more than</w:t>
      </w:r>
      <w:r w:rsidR="005D7BF9">
        <w:t xml:space="preserve"> </w:t>
      </w:r>
      <w:r w:rsidRPr="003B612D">
        <w:t>one prong of the funding rule, the funded member is treated as engaging in only a</w:t>
      </w:r>
      <w:r w:rsidR="005D7BF9">
        <w:t xml:space="preserve"> </w:t>
      </w:r>
      <w:r w:rsidRPr="003B612D">
        <w:t>single distribution or acquisition for purposes of applying the funding rule. The funding</w:t>
      </w:r>
      <w:r w:rsidR="005D7BF9">
        <w:t xml:space="preserve"> </w:t>
      </w:r>
      <w:r w:rsidRPr="003B612D">
        <w:t>rule addresses transactions that, when viewed together, present similar policy concerns</w:t>
      </w:r>
      <w:r w:rsidR="00373C23">
        <w:t xml:space="preserve"> </w:t>
      </w:r>
      <w:r w:rsidRPr="003B612D">
        <w:t>as the transactions that are subject to the general rule.</w:t>
      </w:r>
      <w:r w:rsidR="003D2E3D">
        <w:rPr>
          <w:rStyle w:val="FootnoteReference"/>
        </w:rPr>
        <w:footnoteReference w:id="39"/>
      </w:r>
    </w:p>
    <w:p w:rsidR="00492845" w:rsidRDefault="00492845" w:rsidP="003B612D">
      <w:pPr>
        <w:autoSpaceDE w:val="0"/>
        <w:autoSpaceDN w:val="0"/>
        <w:adjustRightInd w:val="0"/>
        <w:ind w:left="720"/>
      </w:pPr>
    </w:p>
    <w:p w:rsidR="007F6FC4" w:rsidRDefault="007F6FC4" w:rsidP="007F6FC4">
      <w:r>
        <w:t xml:space="preserve">The preamble to the 2016 Section 385 </w:t>
      </w:r>
      <w:proofErr w:type="spellStart"/>
      <w:r>
        <w:t>Regs</w:t>
      </w:r>
      <w:proofErr w:type="spellEnd"/>
      <w:r>
        <w:t xml:space="preserve"> </w:t>
      </w:r>
      <w:r w:rsidR="00CE086B">
        <w:t xml:space="preserve">discusses as follows </w:t>
      </w:r>
      <w:r w:rsidR="001A11A3">
        <w:t xml:space="preserve">(1) </w:t>
      </w:r>
      <w:r w:rsidR="00CE086B">
        <w:t>the rules for determining whether a debt instrument is issued for the “</w:t>
      </w:r>
      <w:r w:rsidR="002363F5" w:rsidRPr="002363F5">
        <w:rPr>
          <w:i/>
        </w:rPr>
        <w:t xml:space="preserve">Principal Purpose </w:t>
      </w:r>
      <w:r w:rsidR="002363F5">
        <w:rPr>
          <w:i/>
        </w:rPr>
        <w:t>o</w:t>
      </w:r>
      <w:r w:rsidR="002363F5" w:rsidRPr="002363F5">
        <w:rPr>
          <w:i/>
        </w:rPr>
        <w:t xml:space="preserve">f Funding </w:t>
      </w:r>
      <w:r w:rsidR="002363F5">
        <w:rPr>
          <w:i/>
        </w:rPr>
        <w:t>a</w:t>
      </w:r>
      <w:r w:rsidR="002363F5" w:rsidRPr="002363F5">
        <w:rPr>
          <w:i/>
        </w:rPr>
        <w:t xml:space="preserve"> Distribution </w:t>
      </w:r>
      <w:r w:rsidR="002363F5">
        <w:rPr>
          <w:i/>
        </w:rPr>
        <w:t>o</w:t>
      </w:r>
      <w:r w:rsidR="002363F5" w:rsidRPr="002363F5">
        <w:rPr>
          <w:i/>
        </w:rPr>
        <w:t>r Acquisition</w:t>
      </w:r>
      <w:r w:rsidR="00E848D4">
        <w:t>,</w:t>
      </w:r>
      <w:r w:rsidR="002363F5">
        <w:t>”</w:t>
      </w:r>
      <w:r w:rsidR="00B122BC">
        <w:t xml:space="preserve"> </w:t>
      </w:r>
      <w:r w:rsidR="00E848D4">
        <w:t>(2) a “</w:t>
      </w:r>
      <w:r w:rsidR="00B122BC" w:rsidRPr="00C245E4">
        <w:rPr>
          <w:i/>
        </w:rPr>
        <w:t>Non-Rebuttable Presumption During the 72-Month Period</w:t>
      </w:r>
      <w:r w:rsidR="00D96CC7">
        <w:t>,</w:t>
      </w:r>
      <w:r w:rsidR="00E848D4">
        <w:t>”</w:t>
      </w:r>
      <w:r w:rsidR="00D96CC7">
        <w:t xml:space="preserve"> and (3) an “</w:t>
      </w:r>
      <w:r w:rsidR="00D96CC7" w:rsidRPr="000C6EA4">
        <w:rPr>
          <w:i/>
        </w:rPr>
        <w:t>Exception to Non-Rebuttable Presumption for Ordinary Course Debt Instruments</w:t>
      </w:r>
      <w:r w:rsidR="00D96CC7">
        <w:t>:</w:t>
      </w:r>
      <w:r w:rsidR="00B11E47">
        <w:t>”</w:t>
      </w:r>
      <w:r>
        <w:t xml:space="preserve"> </w:t>
      </w:r>
    </w:p>
    <w:p w:rsidR="00954E57" w:rsidRPr="003B612D" w:rsidRDefault="00954E57" w:rsidP="003B612D">
      <w:pPr>
        <w:autoSpaceDE w:val="0"/>
        <w:autoSpaceDN w:val="0"/>
        <w:adjustRightInd w:val="0"/>
        <w:ind w:left="720"/>
      </w:pPr>
    </w:p>
    <w:p w:rsidR="00576DE1" w:rsidRPr="00C245E4" w:rsidRDefault="00576DE1" w:rsidP="003B612D">
      <w:pPr>
        <w:autoSpaceDE w:val="0"/>
        <w:autoSpaceDN w:val="0"/>
        <w:adjustRightInd w:val="0"/>
        <w:ind w:left="720"/>
        <w:rPr>
          <w:i/>
        </w:rPr>
      </w:pPr>
      <w:r w:rsidRPr="003B612D">
        <w:t xml:space="preserve">b. </w:t>
      </w:r>
      <w:r w:rsidRPr="00C245E4">
        <w:rPr>
          <w:i/>
        </w:rPr>
        <w:t>Determining Whether a Debt Instrument Is Issued with a Principal Purpose of</w:t>
      </w:r>
    </w:p>
    <w:p w:rsidR="00576DE1" w:rsidRDefault="00576DE1" w:rsidP="003B612D">
      <w:pPr>
        <w:autoSpaceDE w:val="0"/>
        <w:autoSpaceDN w:val="0"/>
        <w:adjustRightInd w:val="0"/>
        <w:ind w:left="720"/>
        <w:rPr>
          <w:i/>
        </w:rPr>
      </w:pPr>
      <w:r w:rsidRPr="00C245E4">
        <w:rPr>
          <w:i/>
        </w:rPr>
        <w:t>Funding a Distribution or Acquisition</w:t>
      </w:r>
    </w:p>
    <w:p w:rsidR="00C245E4" w:rsidRPr="00C245E4" w:rsidRDefault="00C245E4" w:rsidP="003B612D">
      <w:pPr>
        <w:autoSpaceDE w:val="0"/>
        <w:autoSpaceDN w:val="0"/>
        <w:adjustRightInd w:val="0"/>
        <w:ind w:left="720"/>
        <w:rPr>
          <w:i/>
        </w:rPr>
      </w:pPr>
    </w:p>
    <w:p w:rsidR="00576DE1" w:rsidRDefault="00576DE1" w:rsidP="003B612D">
      <w:pPr>
        <w:autoSpaceDE w:val="0"/>
        <w:autoSpaceDN w:val="0"/>
        <w:adjustRightInd w:val="0"/>
        <w:ind w:left="720"/>
      </w:pPr>
      <w:r w:rsidRPr="003B612D">
        <w:t>The determination as to whether a debt instrument is issued with a principal</w:t>
      </w:r>
      <w:r w:rsidR="00C245E4">
        <w:t xml:space="preserve"> </w:t>
      </w:r>
      <w:r w:rsidRPr="003B612D">
        <w:t>purpose of funding a distribution or acquisition is based on all of the facts and</w:t>
      </w:r>
      <w:r w:rsidR="00C245E4">
        <w:t xml:space="preserve"> </w:t>
      </w:r>
      <w:r w:rsidRPr="003B612D">
        <w:t>circumstances. A debt instrument may be treated as issued with such a principal</w:t>
      </w:r>
      <w:r w:rsidR="00C245E4">
        <w:t xml:space="preserve"> </w:t>
      </w:r>
      <w:r w:rsidRPr="003B612D">
        <w:t>purpose whether it is issued before or after a distribution or acquisition.</w:t>
      </w:r>
    </w:p>
    <w:p w:rsidR="00C245E4" w:rsidRPr="003B612D" w:rsidRDefault="00C245E4" w:rsidP="003B612D">
      <w:pPr>
        <w:autoSpaceDE w:val="0"/>
        <w:autoSpaceDN w:val="0"/>
        <w:adjustRightInd w:val="0"/>
        <w:ind w:left="720"/>
      </w:pPr>
    </w:p>
    <w:p w:rsidR="00576DE1" w:rsidRPr="003B612D" w:rsidRDefault="00576DE1" w:rsidP="003B612D">
      <w:pPr>
        <w:autoSpaceDE w:val="0"/>
        <w:autoSpaceDN w:val="0"/>
        <w:adjustRightInd w:val="0"/>
        <w:ind w:left="720"/>
      </w:pPr>
      <w:proofErr w:type="spellStart"/>
      <w:proofErr w:type="gramStart"/>
      <w:r w:rsidRPr="003B612D">
        <w:t>i</w:t>
      </w:r>
      <w:proofErr w:type="spellEnd"/>
      <w:proofErr w:type="gramEnd"/>
      <w:r w:rsidRPr="003B612D">
        <w:t xml:space="preserve">. </w:t>
      </w:r>
      <w:r w:rsidRPr="00C245E4">
        <w:rPr>
          <w:i/>
        </w:rPr>
        <w:t>Non-Rebuttable Presumption During the 72-Month Period</w:t>
      </w:r>
    </w:p>
    <w:p w:rsidR="00576DE1" w:rsidRPr="003B612D" w:rsidRDefault="00576DE1" w:rsidP="003B612D">
      <w:pPr>
        <w:autoSpaceDE w:val="0"/>
        <w:autoSpaceDN w:val="0"/>
        <w:adjustRightInd w:val="0"/>
        <w:ind w:left="720"/>
      </w:pPr>
      <w:r w:rsidRPr="003B612D">
        <w:t>Proposed §1.385-3 also establishes a non-rebuttable presumption that certain</w:t>
      </w:r>
      <w:r w:rsidR="00987182">
        <w:t xml:space="preserve"> </w:t>
      </w:r>
      <w:r w:rsidRPr="003B612D">
        <w:t>expanded group debt instruments are issued with a principal purpose of funding a</w:t>
      </w:r>
      <w:r w:rsidR="00987182">
        <w:t xml:space="preserve"> </w:t>
      </w:r>
      <w:r w:rsidRPr="003B612D">
        <w:t>distribution or acquisition by the funded member. Specifically, such a principal purpose</w:t>
      </w:r>
      <w:r w:rsidR="00987182">
        <w:t xml:space="preserve"> </w:t>
      </w:r>
      <w:r w:rsidRPr="003B612D">
        <w:t>is deemed to exist if the expanded group debt instrument is issued by the funded</w:t>
      </w:r>
      <w:r w:rsidR="00987182">
        <w:t xml:space="preserve"> </w:t>
      </w:r>
      <w:r w:rsidRPr="003B612D">
        <w:t>member during the period beginning 36 months before the funded member makes a</w:t>
      </w:r>
      <w:r w:rsidR="00987182">
        <w:t xml:space="preserve"> </w:t>
      </w:r>
      <w:r w:rsidRPr="003B612D">
        <w:t>distribution or acquisition and ending 36 months after the distribution or acquisition (the</w:t>
      </w:r>
      <w:r w:rsidR="00987182">
        <w:t xml:space="preserve"> </w:t>
      </w:r>
      <w:r w:rsidRPr="003B612D">
        <w:t>72-month period). This per se rule does not create a safe harbor. Accordingly, a debt</w:t>
      </w:r>
      <w:r w:rsidR="00987182">
        <w:t xml:space="preserve"> </w:t>
      </w:r>
      <w:r w:rsidRPr="003B612D">
        <w:t>instrument issued outside the 72-month period may be treated as having a principal</w:t>
      </w:r>
      <w:r w:rsidR="00987182">
        <w:t xml:space="preserve"> </w:t>
      </w:r>
      <w:r w:rsidRPr="003B612D">
        <w:t>purpose of funding a distribution or acquisition, based on the facts and circumstances.</w:t>
      </w:r>
      <w:r w:rsidR="000C6EA4">
        <w:t xml:space="preserve"> . . . </w:t>
      </w:r>
    </w:p>
    <w:p w:rsidR="000C6EA4" w:rsidRDefault="000C6EA4" w:rsidP="003B612D">
      <w:pPr>
        <w:autoSpaceDE w:val="0"/>
        <w:autoSpaceDN w:val="0"/>
        <w:adjustRightInd w:val="0"/>
        <w:ind w:left="720"/>
      </w:pPr>
    </w:p>
    <w:p w:rsidR="00576DE1" w:rsidRPr="003B612D" w:rsidRDefault="00576DE1" w:rsidP="003B612D">
      <w:pPr>
        <w:autoSpaceDE w:val="0"/>
        <w:autoSpaceDN w:val="0"/>
        <w:adjustRightInd w:val="0"/>
        <w:ind w:left="720"/>
      </w:pPr>
      <w:r w:rsidRPr="003B612D">
        <w:t xml:space="preserve">ii. </w:t>
      </w:r>
      <w:r w:rsidRPr="000C6EA4">
        <w:rPr>
          <w:i/>
        </w:rPr>
        <w:t>Exception to Non-Rebuttable Presumption for Ordinary Course Debt Instruments</w:t>
      </w:r>
    </w:p>
    <w:p w:rsidR="00576DE1" w:rsidRPr="003B612D" w:rsidRDefault="00576DE1" w:rsidP="003B612D">
      <w:pPr>
        <w:autoSpaceDE w:val="0"/>
        <w:autoSpaceDN w:val="0"/>
        <w:adjustRightInd w:val="0"/>
        <w:ind w:left="720"/>
      </w:pPr>
      <w:r w:rsidRPr="003B612D">
        <w:t xml:space="preserve">An exception to this </w:t>
      </w:r>
      <w:r w:rsidRPr="00BE3BB7">
        <w:rPr>
          <w:i/>
        </w:rPr>
        <w:t>per se</w:t>
      </w:r>
      <w:r w:rsidRPr="003B612D">
        <w:t xml:space="preserve"> rule applies to ordinary course debt instruments.</w:t>
      </w:r>
      <w:r w:rsidR="00BE3BB7">
        <w:t xml:space="preserve">  </w:t>
      </w:r>
      <w:r w:rsidR="00977D27">
        <w:t xml:space="preserve">. . . </w:t>
      </w:r>
      <w:r w:rsidRPr="003B612D">
        <w:t>This exception is intended to apply to debt instruments that</w:t>
      </w:r>
      <w:r w:rsidR="00E25DFE">
        <w:t xml:space="preserve"> </w:t>
      </w:r>
      <w:r w:rsidRPr="003B612D">
        <w:t>arise in connection with the purchase of property or the receipt of services between</w:t>
      </w:r>
      <w:r w:rsidR="00E25DFE">
        <w:t xml:space="preserve"> </w:t>
      </w:r>
      <w:r w:rsidRPr="003B612D">
        <w:t>members of the same expanded group in the ordinary course of the purchaser’s or</w:t>
      </w:r>
      <w:r w:rsidR="00E25DFE">
        <w:t xml:space="preserve"> </w:t>
      </w:r>
      <w:r w:rsidRPr="003B612D">
        <w:t>recipient’s trade or business, and is not intended to apply to intercompany financing or</w:t>
      </w:r>
      <w:r w:rsidR="00BE5FEB">
        <w:t xml:space="preserve"> </w:t>
      </w:r>
      <w:r w:rsidRPr="003B612D">
        <w:t>treasury center activities or to capital expenditures. An ordinary course debt instrument</w:t>
      </w:r>
      <w:r w:rsidR="00BE5FEB">
        <w:t xml:space="preserve"> </w:t>
      </w:r>
      <w:r w:rsidRPr="003B612D">
        <w:t xml:space="preserve">is not subject to the </w:t>
      </w:r>
      <w:r w:rsidRPr="00BE5FEB">
        <w:rPr>
          <w:i/>
        </w:rPr>
        <w:t>per se</w:t>
      </w:r>
      <w:r w:rsidRPr="003B612D">
        <w:t xml:space="preserve"> rule; however, it may be treated as having a principal</w:t>
      </w:r>
      <w:r w:rsidR="00BE5FEB">
        <w:t xml:space="preserve"> </w:t>
      </w:r>
      <w:r w:rsidRPr="003B612D">
        <w:t>purpose of funding a distribution or acquisition by the issuer, based on the facts and</w:t>
      </w:r>
      <w:r w:rsidR="00BE5FEB">
        <w:t xml:space="preserve"> </w:t>
      </w:r>
      <w:r w:rsidRPr="003B612D">
        <w:t>circumstances.</w:t>
      </w:r>
      <w:r w:rsidR="00FC06E3">
        <w:rPr>
          <w:rStyle w:val="FootnoteReference"/>
        </w:rPr>
        <w:footnoteReference w:id="40"/>
      </w:r>
    </w:p>
    <w:p w:rsidR="00BE5FEB" w:rsidRDefault="00BE5FEB" w:rsidP="003B612D">
      <w:pPr>
        <w:autoSpaceDE w:val="0"/>
        <w:autoSpaceDN w:val="0"/>
        <w:adjustRightInd w:val="0"/>
        <w:ind w:left="720"/>
      </w:pPr>
    </w:p>
    <w:p w:rsidR="00BE5FEB" w:rsidRPr="001B116B" w:rsidRDefault="001B116B" w:rsidP="003643EC">
      <w:pPr>
        <w:autoSpaceDE w:val="0"/>
        <w:autoSpaceDN w:val="0"/>
        <w:adjustRightInd w:val="0"/>
      </w:pPr>
      <w:r>
        <w:t>An ordering rule provides that “</w:t>
      </w:r>
      <w:r w:rsidRPr="001B116B">
        <w:t>when two or more debt instruments may be</w:t>
      </w:r>
      <w:r>
        <w:t xml:space="preserve"> </w:t>
      </w:r>
      <w:r w:rsidRPr="001B116B">
        <w:t>treated as potentially funding the same acquisition or distribution, the debt instruments</w:t>
      </w:r>
      <w:r w:rsidR="003643EC">
        <w:t xml:space="preserve"> </w:t>
      </w:r>
      <w:r w:rsidRPr="001B116B">
        <w:t>are tested based on the order in which they were issued.</w:t>
      </w:r>
      <w:r w:rsidR="003643EC">
        <w:t>”</w:t>
      </w:r>
      <w:r w:rsidR="003643EC">
        <w:rPr>
          <w:rStyle w:val="FootnoteReference"/>
        </w:rPr>
        <w:footnoteReference w:id="41"/>
      </w:r>
    </w:p>
    <w:p w:rsidR="0017635A" w:rsidRDefault="001F7D00" w:rsidP="00B34C4A">
      <w:pPr>
        <w:pStyle w:val="Heading2"/>
      </w:pPr>
      <w:bookmarkStart w:id="121" w:name="_Toc449442033"/>
      <w:r>
        <w:lastRenderedPageBreak/>
        <w:t>GENERAL ANTI-ABUSE RULE</w:t>
      </w:r>
      <w:bookmarkEnd w:id="121"/>
    </w:p>
    <w:p w:rsidR="00D52EDD" w:rsidRDefault="00D52EDD" w:rsidP="00D52EDD">
      <w:r w:rsidRPr="00E96AF3">
        <w:t>Proposed §1.385-3(b</w:t>
      </w:r>
      <w:proofErr w:type="gramStart"/>
      <w:r w:rsidRPr="00E96AF3">
        <w:t>)(</w:t>
      </w:r>
      <w:proofErr w:type="gramEnd"/>
      <w:r w:rsidRPr="00E96AF3">
        <w:t xml:space="preserve">4) </w:t>
      </w:r>
      <w:r>
        <w:t>sets out a general anti-abuse rule which “</w:t>
      </w:r>
      <w:r w:rsidRPr="00E96AF3">
        <w:t>provides that a debt instrument is treated as stock</w:t>
      </w:r>
      <w:r>
        <w:t xml:space="preserve"> </w:t>
      </w:r>
      <w:r w:rsidRPr="00E96AF3">
        <w:t>if it is issued with a principal purpose of avoiding the application of the proposed</w:t>
      </w:r>
      <w:r>
        <w:t xml:space="preserve"> </w:t>
      </w:r>
      <w:r w:rsidRPr="00E96AF3">
        <w:t>regulations.</w:t>
      </w:r>
      <w:r>
        <w:rPr>
          <w:rStyle w:val="FootnoteReference"/>
        </w:rPr>
        <w:footnoteReference w:id="42"/>
      </w:r>
    </w:p>
    <w:p w:rsidR="00F42508" w:rsidRDefault="00F42508" w:rsidP="00B34C4A">
      <w:pPr>
        <w:pStyle w:val="Heading2"/>
      </w:pPr>
      <w:bookmarkStart w:id="122" w:name="_Toc449442034"/>
      <w:r>
        <w:t>NO AFFIRMATIVE USE</w:t>
      </w:r>
      <w:bookmarkEnd w:id="122"/>
    </w:p>
    <w:p w:rsidR="00FC7B38" w:rsidRDefault="00FC7B38" w:rsidP="00F42508">
      <w:r>
        <w:t xml:space="preserve">The preamble to the 2016 Section 385 </w:t>
      </w:r>
      <w:proofErr w:type="spellStart"/>
      <w:r>
        <w:t>Regs</w:t>
      </w:r>
      <w:proofErr w:type="spellEnd"/>
      <w:r>
        <w:t xml:space="preserve"> discusses as follows the rule that prohibits the affirmative use of these regulations by taxpayers: </w:t>
      </w:r>
    </w:p>
    <w:p w:rsidR="00FC7B38" w:rsidRDefault="00FC7B38" w:rsidP="00F42508"/>
    <w:p w:rsidR="00F42508" w:rsidRDefault="00F42508" w:rsidP="00FC7B38">
      <w:pPr>
        <w:ind w:left="720"/>
      </w:pPr>
      <w:r w:rsidRPr="00F42508">
        <w:t>Under proposed §1.385-3(e), proposed §§1.385-3 and 1.385-4 do not apply to</w:t>
      </w:r>
      <w:r w:rsidR="00FC7B38">
        <w:t xml:space="preserve"> </w:t>
      </w:r>
      <w:r w:rsidRPr="00F42508">
        <w:t>the extent a person enters into a transaction that otherwise would be subject to the</w:t>
      </w:r>
      <w:r w:rsidR="00CF2583">
        <w:t xml:space="preserve"> </w:t>
      </w:r>
      <w:r w:rsidRPr="00F42508">
        <w:t>proposed regulations with a principal purpose of reducing its federal tax liability or the</w:t>
      </w:r>
      <w:r w:rsidR="00CF2583">
        <w:t xml:space="preserve"> </w:t>
      </w:r>
      <w:r w:rsidRPr="00F42508">
        <w:t>federal tax liability of another person by disregarding the treatment of the debt</w:t>
      </w:r>
      <w:r w:rsidR="00CF2583">
        <w:t xml:space="preserve"> </w:t>
      </w:r>
      <w:r w:rsidRPr="00F42508">
        <w:t>instrument that would occur without regard to the proposed regulations.</w:t>
      </w:r>
      <w:r w:rsidR="00CF2583">
        <w:rPr>
          <w:rStyle w:val="FootnoteReference"/>
        </w:rPr>
        <w:footnoteReference w:id="43"/>
      </w:r>
    </w:p>
    <w:p w:rsidR="00940015" w:rsidRDefault="00F9346C" w:rsidP="00B34C4A">
      <w:pPr>
        <w:pStyle w:val="Heading2"/>
      </w:pPr>
      <w:bookmarkStart w:id="123" w:name="_Toc449442035"/>
      <w:r>
        <w:t xml:space="preserve">TREATMENT OF NOTES ISSUED WITHIN A CONSOLIDATED GROUP, </w:t>
      </w:r>
      <w:r w:rsidRPr="0091397F">
        <w:t>PROPOSED REG.  §1.385-</w:t>
      </w:r>
      <w:r>
        <w:t>4</w:t>
      </w:r>
      <w:bookmarkEnd w:id="123"/>
    </w:p>
    <w:p w:rsidR="00B7718E" w:rsidRDefault="009D3CE5" w:rsidP="00940015">
      <w:r>
        <w:t>Under the consolidated return provisions, only domestic corporations can file a joint consolidated return</w:t>
      </w:r>
      <w:r w:rsidR="00C550E9">
        <w:t xml:space="preserve">, </w:t>
      </w:r>
      <w:r>
        <w:t>which will include the income and loss of the separate corporations in one return.</w:t>
      </w:r>
      <w:r w:rsidR="0065013D">
        <w:t xml:space="preserve">  Under </w:t>
      </w:r>
      <w:r w:rsidR="000F192E">
        <w:t>Section</w:t>
      </w:r>
      <w:r w:rsidR="0065013D">
        <w:t xml:space="preserve"> 1504, only domestic corporations can be members</w:t>
      </w:r>
      <w:r w:rsidR="008975E3">
        <w:t xml:space="preserve"> of a consolidated group and, for example, at least 80%</w:t>
      </w:r>
      <w:r w:rsidR="00A02D8A">
        <w:t xml:space="preserve">, measured </w:t>
      </w:r>
      <w:r w:rsidR="008975E3">
        <w:t>by vote and value</w:t>
      </w:r>
      <w:r w:rsidR="00A02D8A">
        <w:t>, of a subs stock must be held by the parent in order for the sub and the parent to be in a consolidated group.</w:t>
      </w:r>
      <w:r w:rsidR="00C550E9">
        <w:t xml:space="preserve">  </w:t>
      </w:r>
    </w:p>
    <w:p w:rsidR="00B7718E" w:rsidRDefault="00B7718E" w:rsidP="00940015"/>
    <w:p w:rsidR="00256F7D" w:rsidRDefault="00B7718E" w:rsidP="00B7718E">
      <w:r>
        <w:t xml:space="preserve">The preamble to the 2016 </w:t>
      </w:r>
      <w:r w:rsidR="000F192E">
        <w:t>Section</w:t>
      </w:r>
      <w:r>
        <w:t xml:space="preserve"> 385 </w:t>
      </w:r>
      <w:proofErr w:type="spellStart"/>
      <w:r>
        <w:t>Regs</w:t>
      </w:r>
      <w:proofErr w:type="spellEnd"/>
      <w:r>
        <w:t xml:space="preserve"> points out that “</w:t>
      </w:r>
      <w:r w:rsidRPr="00B7718E">
        <w:t>many of the</w:t>
      </w:r>
      <w:r>
        <w:t xml:space="preserve"> </w:t>
      </w:r>
      <w:r w:rsidRPr="00B7718E">
        <w:t>concerns regarding related-party indebtedness are not present in the case of</w:t>
      </w:r>
      <w:r>
        <w:t xml:space="preserve"> </w:t>
      </w:r>
      <w:r w:rsidRPr="00B7718E">
        <w:t>indebtedness between members of a consolidated group.</w:t>
      </w:r>
      <w:r>
        <w:t>”</w:t>
      </w:r>
      <w:r w:rsidR="00256F7D">
        <w:rPr>
          <w:rStyle w:val="FootnoteReference"/>
        </w:rPr>
        <w:footnoteReference w:id="44"/>
      </w:r>
      <w:r w:rsidR="00256F7D">
        <w:t xml:space="preserve">  The preamble goes on to explain: </w:t>
      </w:r>
    </w:p>
    <w:p w:rsidR="00256F7D" w:rsidRDefault="00256F7D" w:rsidP="00B7718E"/>
    <w:p w:rsidR="00B7718E" w:rsidRPr="00B7718E" w:rsidRDefault="00B7718E" w:rsidP="005E36D6">
      <w:pPr>
        <w:ind w:left="720"/>
      </w:pPr>
      <w:r w:rsidRPr="00B7718E">
        <w:t>Accordingly, the proposed</w:t>
      </w:r>
      <w:r w:rsidR="00256F7D">
        <w:t xml:space="preserve"> </w:t>
      </w:r>
      <w:r w:rsidRPr="00B7718E">
        <w:t xml:space="preserve">regulations under </w:t>
      </w:r>
      <w:r w:rsidR="000F192E">
        <w:t>Section</w:t>
      </w:r>
      <w:r w:rsidRPr="00B7718E">
        <w:t xml:space="preserve"> 385 do not apply to interests between members of a</w:t>
      </w:r>
      <w:r w:rsidR="005E36D6">
        <w:t xml:space="preserve"> </w:t>
      </w:r>
      <w:r w:rsidRPr="00B7718E">
        <w:t>consolidated group, although general federal tax principles continue to apply. Proposed</w:t>
      </w:r>
      <w:r w:rsidR="005E36D6">
        <w:t xml:space="preserve"> </w:t>
      </w:r>
      <w:r w:rsidRPr="00B7718E">
        <w:t>§1.385-1(e) achieves this result by treating a consolidated group as one corporation.</w:t>
      </w:r>
      <w:r w:rsidR="005E36D6">
        <w:rPr>
          <w:rStyle w:val="FootnoteReference"/>
        </w:rPr>
        <w:footnoteReference w:id="45"/>
      </w:r>
    </w:p>
    <w:p w:rsidR="00940015" w:rsidRDefault="00940015" w:rsidP="00ED60F4">
      <w:pPr>
        <w:autoSpaceDE w:val="0"/>
        <w:autoSpaceDN w:val="0"/>
        <w:adjustRightInd w:val="0"/>
        <w:ind w:left="720"/>
        <w:rPr>
          <w:rFonts w:ascii="Arial" w:hAnsi="Arial" w:cs="Arial"/>
        </w:rPr>
      </w:pPr>
    </w:p>
    <w:p w:rsidR="00D35379" w:rsidRDefault="005E36D6" w:rsidP="005C66B8">
      <w:pPr>
        <w:autoSpaceDE w:val="0"/>
        <w:autoSpaceDN w:val="0"/>
        <w:adjustRightInd w:val="0"/>
      </w:pPr>
      <w:r w:rsidRPr="00D22A54">
        <w:t xml:space="preserve">Of course, a debt instrument that is held by a member of a consolidated group one day, will not be held by a member of the consolidated group the next day if for some reason the member leaves the consolidated group.  </w:t>
      </w:r>
      <w:r w:rsidR="00B3258D" w:rsidRPr="00D22A54">
        <w:t>Prop. Reg. §1.385-4 addresses this</w:t>
      </w:r>
      <w:r w:rsidR="00106878">
        <w:t xml:space="preserve"> and related</w:t>
      </w:r>
      <w:r w:rsidR="00B3258D" w:rsidRPr="00D22A54">
        <w:t xml:space="preserve"> issue</w:t>
      </w:r>
      <w:r w:rsidR="00106878">
        <w:t>s</w:t>
      </w:r>
      <w:r w:rsidR="00B3258D" w:rsidRPr="00D22A54">
        <w:t xml:space="preserve"> by </w:t>
      </w:r>
      <w:r w:rsidR="00D22A54" w:rsidRPr="00D22A54">
        <w:t>setting out “rules for applying §1.385-3 to consolidated groups when an interest ceases to be a consolidated group debt instrument or becomes a consolidated group</w:t>
      </w:r>
      <w:r w:rsidR="00D22A54">
        <w:t xml:space="preserve"> </w:t>
      </w:r>
      <w:r w:rsidR="00D22A54" w:rsidRPr="00D22A54">
        <w:t>debt instrument.”</w:t>
      </w:r>
      <w:r w:rsidR="00D22A54" w:rsidRPr="00D22A54">
        <w:rPr>
          <w:rStyle w:val="FootnoteReference"/>
        </w:rPr>
        <w:footnoteReference w:id="46"/>
      </w:r>
      <w:r w:rsidR="00CF2583">
        <w:t xml:space="preserve"> </w:t>
      </w:r>
      <w:r w:rsidR="009216D5">
        <w:rPr>
          <w:rFonts w:ascii="Arial" w:hAnsi="Arial" w:cs="Arial"/>
        </w:rPr>
        <w:t xml:space="preserve"> </w:t>
      </w:r>
      <w:r w:rsidR="005C66B8">
        <w:rPr>
          <w:rFonts w:ascii="Arial" w:hAnsi="Arial" w:cs="Arial"/>
        </w:rPr>
        <w:t>.</w:t>
      </w:r>
      <w:r w:rsidR="0023226F" w:rsidRPr="00B1618D">
        <w:t xml:space="preserve"> </w:t>
      </w:r>
      <w:r w:rsidR="00F362AA">
        <w:t xml:space="preserve"> </w:t>
      </w:r>
      <w:r w:rsidR="00D35379">
        <w:t xml:space="preserve">  </w:t>
      </w:r>
    </w:p>
    <w:p w:rsidR="00106878" w:rsidRDefault="00F9346C" w:rsidP="00B34C4A">
      <w:pPr>
        <w:pStyle w:val="Heading2"/>
      </w:pPr>
      <w:bookmarkStart w:id="124" w:name="_Toc449442036"/>
      <w:r>
        <w:t>MY TAKE ON THE 2016 SECTION 385 REGS</w:t>
      </w:r>
      <w:bookmarkEnd w:id="124"/>
    </w:p>
    <w:p w:rsidR="00D47757" w:rsidRDefault="00106878" w:rsidP="00106878">
      <w:r>
        <w:t xml:space="preserve">I commend the Treasury for proposing the 2016 </w:t>
      </w:r>
      <w:r w:rsidR="000F192E">
        <w:t>Section</w:t>
      </w:r>
      <w:r>
        <w:t xml:space="preserve"> 385 </w:t>
      </w:r>
      <w:proofErr w:type="spellStart"/>
      <w:r>
        <w:t>Regs</w:t>
      </w:r>
      <w:proofErr w:type="spellEnd"/>
      <w:r w:rsidR="00B71C3B">
        <w:t xml:space="preserve">.  The heart of the regulations, §1.385-3, is a revolutionary approach to dealing with debt-equity issues in that it does not rely on </w:t>
      </w:r>
      <w:r w:rsidR="00B71C3B">
        <w:lastRenderedPageBreak/>
        <w:t xml:space="preserve">some “facts and circumstances” analysis of </w:t>
      </w:r>
      <w:r w:rsidR="006133BC">
        <w:t>transactions</w:t>
      </w:r>
      <w:r w:rsidR="006B2CAC">
        <w:t xml:space="preserve">, which was at the center of the prior proposed regulations under </w:t>
      </w:r>
      <w:r w:rsidR="000F192E">
        <w:t>Section</w:t>
      </w:r>
      <w:r w:rsidR="006B2CAC">
        <w:t xml:space="preserve"> 385, which were withdrawn.  </w:t>
      </w:r>
    </w:p>
    <w:p w:rsidR="00D47757" w:rsidRDefault="00D47757" w:rsidP="00106878"/>
    <w:p w:rsidR="00B2452A" w:rsidRDefault="006133BC" w:rsidP="00106878">
      <w:r>
        <w:t xml:space="preserve">Rather, §1.385-3 takes a bright line approach to one of the most vexing issues in international tax: how to curtail interest stripping. </w:t>
      </w:r>
      <w:r w:rsidR="00563378">
        <w:t xml:space="preserve">If finally adopted, I believe that these regulations will </w:t>
      </w:r>
      <w:r w:rsidR="00D47757">
        <w:t xml:space="preserve">to a substantial extent curtail </w:t>
      </w:r>
      <w:r w:rsidR="00563378">
        <w:t>abuse of the system not just for inversions but for all situations in which a foreign parent controls a U.S. sub.</w:t>
      </w:r>
      <w:r w:rsidR="00D47757">
        <w:t xml:space="preserve">  There will obviously be a need for refinements as creative tax professionals seek ways around the general rule.  </w:t>
      </w:r>
    </w:p>
    <w:p w:rsidR="00B2452A" w:rsidRDefault="00B2452A" w:rsidP="00106878"/>
    <w:p w:rsidR="00E02CD1" w:rsidRDefault="00B2452A" w:rsidP="00106878">
      <w:r>
        <w:t xml:space="preserve">If these regulations had been in effect at the time of the Endo inversion, </w:t>
      </w:r>
      <w:r w:rsidR="00702599">
        <w:t xml:space="preserve">which is discussed </w:t>
      </w:r>
      <w:r w:rsidR="000F192E">
        <w:t>Section</w:t>
      </w:r>
      <w:r w:rsidR="00702599">
        <w:t xml:space="preserve"> 22:7.1[G], the note that was issued by Endo U.S. for stock of the Irish inversion parent would have been treated as stock and could not have been used</w:t>
      </w:r>
      <w:r w:rsidR="003859B1">
        <w:t xml:space="preserve"> to set up an interesting play. </w:t>
      </w:r>
    </w:p>
    <w:p w:rsidR="00E02CD1" w:rsidRDefault="00E02CD1" w:rsidP="00106878"/>
    <w:p w:rsidR="00954385" w:rsidRDefault="00E02CD1" w:rsidP="00106878">
      <w:r>
        <w:t xml:space="preserve">This approach is consistent with </w:t>
      </w:r>
      <w:r w:rsidR="002C1DEC">
        <w:t xml:space="preserve">an approach I argue for in </w:t>
      </w:r>
      <w:r w:rsidR="000F192E">
        <w:t>Section</w:t>
      </w:r>
      <w:r w:rsidR="002C1DEC">
        <w:t xml:space="preserve"> 22:7.2[B</w:t>
      </w:r>
      <w:proofErr w:type="gramStart"/>
      <w:r w:rsidR="002C1DEC">
        <w:t>][</w:t>
      </w:r>
      <w:proofErr w:type="gramEnd"/>
      <w:r w:rsidR="002C1DEC">
        <w:t xml:space="preserve">4], where in discussing the need for the Treasury to take action under </w:t>
      </w:r>
      <w:r w:rsidR="000F192E">
        <w:t>Section</w:t>
      </w:r>
      <w:r w:rsidR="002C1DEC">
        <w:t xml:space="preserve"> 385, I say: </w:t>
      </w:r>
    </w:p>
    <w:p w:rsidR="00954385" w:rsidRDefault="00954385" w:rsidP="00836B01">
      <w:pPr>
        <w:ind w:left="720"/>
      </w:pPr>
    </w:p>
    <w:p w:rsidR="00106878" w:rsidRPr="00106878" w:rsidRDefault="00954385" w:rsidP="00836B01">
      <w:pPr>
        <w:ind w:left="720"/>
      </w:pPr>
      <w:r>
        <w:t>By focusing on inversions, the regulations would be primarily concerned with artificial debt instruments issued in an inversion or related transaction by a U.S corporation to i</w:t>
      </w:r>
      <w:r w:rsidR="002E725E">
        <w:t>t</w:t>
      </w:r>
      <w:r>
        <w:t>s new foreign parent or related party, and not “a [situation where a] long-term foreign parent [has</w:t>
      </w:r>
      <w:r w:rsidR="00836B01">
        <w:t xml:space="preserve">] made a real loan of funds to [its] U.S. subsidiary and therefore [is] entitled to repayment with interest.” </w:t>
      </w:r>
      <w:r w:rsidR="00563378">
        <w:t xml:space="preserve">  </w:t>
      </w:r>
      <w:r w:rsidR="006133BC">
        <w:t xml:space="preserve"> </w:t>
      </w:r>
    </w:p>
    <w:p w:rsidR="002E725E" w:rsidRDefault="002E725E" w:rsidP="002E725E"/>
    <w:p w:rsidR="00D35379" w:rsidRDefault="002E725E" w:rsidP="002E725E">
      <w:r>
        <w:t xml:space="preserve">Indeed, the 2016 </w:t>
      </w:r>
      <w:r w:rsidR="000F192E">
        <w:t>Section</w:t>
      </w:r>
      <w:r>
        <w:t xml:space="preserve"> 385 regulations </w:t>
      </w:r>
      <w:r w:rsidR="00227E7F">
        <w:t xml:space="preserve">properly </w:t>
      </w:r>
      <w:r>
        <w:t>take aim not only at</w:t>
      </w:r>
      <w:r w:rsidR="00227E7F">
        <w:t xml:space="preserve"> debt issued in </w:t>
      </w:r>
      <w:r>
        <w:t>inversions but at all debt issued by U.S. subs to foreign parents in transactions that are not real loans.</w:t>
      </w:r>
      <w:r w:rsidR="00856A30">
        <w:t xml:space="preserve">  For the reasons stated above I think it is clear that the Treasury has the authority under </w:t>
      </w:r>
      <w:r w:rsidR="000F192E">
        <w:t>Section</w:t>
      </w:r>
      <w:r w:rsidR="00856A30">
        <w:t xml:space="preserve"> 385 to issue these regulations.</w:t>
      </w:r>
      <w:r>
        <w:t xml:space="preserve">  </w:t>
      </w:r>
    </w:p>
    <w:sectPr w:rsidR="00D35379" w:rsidSect="001F322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005" w:rsidRDefault="00181005" w:rsidP="00AE65AA">
      <w:r>
        <w:separator/>
      </w:r>
    </w:p>
  </w:endnote>
  <w:endnote w:type="continuationSeparator" w:id="0">
    <w:p w:rsidR="00181005" w:rsidRDefault="00181005" w:rsidP="00AE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096358"/>
      <w:docPartObj>
        <w:docPartGallery w:val="Page Numbers (Bottom of Page)"/>
        <w:docPartUnique/>
      </w:docPartObj>
    </w:sdtPr>
    <w:sdtEndPr>
      <w:rPr>
        <w:noProof/>
      </w:rPr>
    </w:sdtEndPr>
    <w:sdtContent>
      <w:p w:rsidR="00181005" w:rsidRDefault="00181005">
        <w:pPr>
          <w:pStyle w:val="Footer"/>
          <w:jc w:val="right"/>
        </w:pPr>
        <w:r>
          <w:fldChar w:fldCharType="begin"/>
        </w:r>
        <w:r>
          <w:instrText xml:space="preserve"> PAGE   \* MERGEFORMAT </w:instrText>
        </w:r>
        <w:r>
          <w:fldChar w:fldCharType="separate"/>
        </w:r>
        <w:r w:rsidR="00231DB5">
          <w:rPr>
            <w:noProof/>
          </w:rPr>
          <w:t>38</w:t>
        </w:r>
        <w:r>
          <w:rPr>
            <w:noProof/>
          </w:rPr>
          <w:fldChar w:fldCharType="end"/>
        </w:r>
      </w:p>
    </w:sdtContent>
  </w:sdt>
  <w:p w:rsidR="00181005" w:rsidRDefault="00181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005" w:rsidRDefault="00181005" w:rsidP="00AE65AA">
      <w:r>
        <w:separator/>
      </w:r>
    </w:p>
  </w:footnote>
  <w:footnote w:type="continuationSeparator" w:id="0">
    <w:p w:rsidR="00181005" w:rsidRDefault="00181005" w:rsidP="00AE65AA">
      <w:r>
        <w:continuationSeparator/>
      </w:r>
    </w:p>
  </w:footnote>
  <w:footnote w:id="1">
    <w:p w:rsidR="00181005" w:rsidRPr="006D3115" w:rsidRDefault="00181005" w:rsidP="00EA70F1">
      <w:pPr>
        <w:rPr>
          <w:sz w:val="20"/>
          <w:szCs w:val="20"/>
        </w:rPr>
      </w:pPr>
      <w:r w:rsidRPr="006D3115">
        <w:rPr>
          <w:rStyle w:val="FootnoteReference"/>
          <w:sz w:val="20"/>
          <w:szCs w:val="20"/>
        </w:rPr>
        <w:footnoteRef/>
      </w:r>
      <w:r w:rsidRPr="006D3115">
        <w:rPr>
          <w:sz w:val="20"/>
          <w:szCs w:val="20"/>
        </w:rPr>
        <w:t xml:space="preserve"> I want to thank the following Penn State Law students who are my Research Assistants for their helpful comments on this paper and assistance in the preparation of the slides: (1) Ying Zeng, and (2) Zachary Burley.  </w:t>
      </w:r>
    </w:p>
  </w:footnote>
  <w:footnote w:id="2">
    <w:p w:rsidR="00181005" w:rsidRDefault="00181005">
      <w:pPr>
        <w:pStyle w:val="FootnoteText"/>
      </w:pPr>
      <w:r>
        <w:rPr>
          <w:rStyle w:val="FootnoteReference"/>
        </w:rPr>
        <w:footnoteRef/>
      </w:r>
      <w:r>
        <w:t xml:space="preserve"> These Notices are also discussed in Chapter 22 of Thompson, Mergers, Acquisitions, and Tender Offers (PLI, 2010, updated semi-annually [hereinafter Thompson, </w:t>
      </w:r>
      <w:r w:rsidRPr="006D3115">
        <w:rPr>
          <w:i/>
        </w:rPr>
        <w:t>MATO</w:t>
      </w:r>
      <w:r>
        <w:t xml:space="preserve">].  Chapter 22 also contains a brief discussion of the April 2016 regulations.  </w:t>
      </w:r>
    </w:p>
  </w:footnote>
  <w:footnote w:id="3">
    <w:p w:rsidR="00181005" w:rsidRDefault="00181005">
      <w:pPr>
        <w:pStyle w:val="FootnoteText"/>
      </w:pPr>
      <w:r>
        <w:rPr>
          <w:rStyle w:val="FootnoteReference"/>
        </w:rPr>
        <w:footnoteRef/>
      </w:r>
      <w:r>
        <w:t xml:space="preserve"> </w:t>
      </w:r>
      <w:proofErr w:type="gramStart"/>
      <w:r w:rsidRPr="00043B56">
        <w:t>TD 9761, Inversions and Related Transactions, Final and Temporary Regulations   (</w:t>
      </w:r>
      <w:r>
        <w:t>April 4</w:t>
      </w:r>
      <w:r w:rsidRPr="00043B56">
        <w:t xml:space="preserve">, 2016) [the 2016 General Inversion </w:t>
      </w:r>
      <w:proofErr w:type="spellStart"/>
      <w:r w:rsidRPr="00043B56">
        <w:t>Regs</w:t>
      </w:r>
      <w:proofErr w:type="spellEnd"/>
      <w:r w:rsidRPr="00043B56">
        <w:t>].</w:t>
      </w:r>
      <w:proofErr w:type="gramEnd"/>
      <w:r>
        <w:rPr>
          <w:rFonts w:ascii="Arial" w:hAnsi="Arial" w:cs="Arial"/>
        </w:rPr>
        <w:t xml:space="preserve">  </w:t>
      </w:r>
    </w:p>
  </w:footnote>
  <w:footnote w:id="4">
    <w:p w:rsidR="00181005" w:rsidRDefault="00181005">
      <w:pPr>
        <w:pStyle w:val="FootnoteText"/>
      </w:pPr>
      <w:r>
        <w:rPr>
          <w:rStyle w:val="FootnoteReference"/>
        </w:rPr>
        <w:footnoteRef/>
      </w:r>
      <w:r>
        <w:t xml:space="preserve"> </w:t>
      </w:r>
      <w:proofErr w:type="gramStart"/>
      <w:r>
        <w:t xml:space="preserve">REG-108060-15, Treatment of Certain Interests in Corporations as Stock or Indebtedness, Notice of Proposed Rulemaking (April 4, 2016) [the 2016 Section 385 </w:t>
      </w:r>
      <w:proofErr w:type="spellStart"/>
      <w:r>
        <w:t>Regs</w:t>
      </w:r>
      <w:proofErr w:type="spellEnd"/>
      <w:r>
        <w:t>.].</w:t>
      </w:r>
      <w:proofErr w:type="gramEnd"/>
    </w:p>
  </w:footnote>
  <w:footnote w:id="5">
    <w:p w:rsidR="00181005" w:rsidRDefault="00181005">
      <w:pPr>
        <w:pStyle w:val="FootnoteText"/>
      </w:pPr>
      <w:r>
        <w:rPr>
          <w:rStyle w:val="FootnoteReference"/>
        </w:rPr>
        <w:footnoteRef/>
      </w:r>
      <w:r>
        <w:t xml:space="preserve"> </w:t>
      </w:r>
      <w:r w:rsidR="00372221" w:rsidRPr="00372221">
        <w:rPr>
          <w:i/>
        </w:rPr>
        <w:t>Supra</w:t>
      </w:r>
      <w:r w:rsidR="00372221">
        <w:t xml:space="preserve"> note 3, at 17</w:t>
      </w:r>
      <w:proofErr w:type="gramStart"/>
      <w:r w:rsidR="00372221">
        <w:t>.</w:t>
      </w:r>
      <w:r>
        <w:t>.</w:t>
      </w:r>
      <w:proofErr w:type="gramEnd"/>
      <w:r>
        <w:t xml:space="preserve">   </w:t>
      </w:r>
    </w:p>
  </w:footnote>
  <w:footnote w:id="6">
    <w:p w:rsidR="00181005" w:rsidRDefault="00181005">
      <w:pPr>
        <w:pStyle w:val="FootnoteText"/>
      </w:pPr>
      <w:r>
        <w:rPr>
          <w:rStyle w:val="FootnoteReference"/>
        </w:rPr>
        <w:footnoteRef/>
      </w:r>
      <w:r>
        <w:t xml:space="preserve"> </w:t>
      </w:r>
      <w:r w:rsidRPr="004B5E40">
        <w:rPr>
          <w:i/>
        </w:rPr>
        <w:t>Id</w:t>
      </w:r>
      <w:r>
        <w:t xml:space="preserve">. at </w:t>
      </w:r>
    </w:p>
  </w:footnote>
  <w:footnote w:id="7">
    <w:p w:rsidR="00181005" w:rsidRDefault="00181005">
      <w:pPr>
        <w:pStyle w:val="FootnoteText"/>
      </w:pPr>
      <w:r>
        <w:rPr>
          <w:rStyle w:val="FootnoteReference"/>
        </w:rPr>
        <w:footnoteRef/>
      </w:r>
      <w:r>
        <w:t xml:space="preserve"> </w:t>
      </w:r>
      <w:r w:rsidRPr="004B5E40">
        <w:rPr>
          <w:i/>
        </w:rPr>
        <w:t>Id</w:t>
      </w:r>
      <w:r>
        <w:t>. at 18-19</w:t>
      </w:r>
    </w:p>
  </w:footnote>
  <w:footnote w:id="8">
    <w:p w:rsidR="00181005" w:rsidRDefault="00181005">
      <w:pPr>
        <w:pStyle w:val="FootnoteText"/>
      </w:pPr>
      <w:r>
        <w:rPr>
          <w:rStyle w:val="FootnoteReference"/>
        </w:rPr>
        <w:footnoteRef/>
      </w:r>
      <w:r>
        <w:t xml:space="preserve"> The 2016 General Inversion </w:t>
      </w:r>
      <w:proofErr w:type="spellStart"/>
      <w:proofErr w:type="gramStart"/>
      <w:r>
        <w:t>Regs</w:t>
      </w:r>
      <w:proofErr w:type="spellEnd"/>
      <w:r w:rsidRPr="007C256F">
        <w:rPr>
          <w:i/>
        </w:rPr>
        <w:t xml:space="preserve"> </w:t>
      </w:r>
      <w:r>
        <w:t>,</w:t>
      </w:r>
      <w:proofErr w:type="gramEnd"/>
      <w:r>
        <w:t xml:space="preserve"> supra at 21-23.</w:t>
      </w:r>
    </w:p>
  </w:footnote>
  <w:footnote w:id="9">
    <w:p w:rsidR="00181005" w:rsidRDefault="00181005">
      <w:pPr>
        <w:pStyle w:val="FootnoteText"/>
      </w:pPr>
      <w:r>
        <w:rPr>
          <w:rStyle w:val="FootnoteReference"/>
        </w:rPr>
        <w:footnoteRef/>
      </w:r>
      <w:r>
        <w:t xml:space="preserve"> </w:t>
      </w:r>
      <w:r w:rsidRPr="0059460D">
        <w:rPr>
          <w:i/>
        </w:rPr>
        <w:t>Id</w:t>
      </w:r>
      <w:r>
        <w:t xml:space="preserve">. at 23-24.  </w:t>
      </w:r>
    </w:p>
  </w:footnote>
  <w:footnote w:id="10">
    <w:p w:rsidR="00181005" w:rsidRDefault="00181005">
      <w:pPr>
        <w:pStyle w:val="FootnoteText"/>
      </w:pPr>
      <w:r>
        <w:rPr>
          <w:rStyle w:val="FootnoteReference"/>
        </w:rPr>
        <w:footnoteRef/>
      </w:r>
      <w:r>
        <w:t xml:space="preserve"> Id. at 31-33.  </w:t>
      </w:r>
    </w:p>
  </w:footnote>
  <w:footnote w:id="11">
    <w:p w:rsidR="00181005" w:rsidRDefault="00181005">
      <w:pPr>
        <w:pStyle w:val="FootnoteText"/>
      </w:pPr>
      <w:r>
        <w:rPr>
          <w:rStyle w:val="FootnoteReference"/>
        </w:rPr>
        <w:footnoteRef/>
      </w:r>
      <w:r>
        <w:t xml:space="preserve"> </w:t>
      </w:r>
      <w:r w:rsidRPr="00F2069F">
        <w:rPr>
          <w:i/>
        </w:rPr>
        <w:t>Id</w:t>
      </w:r>
      <w:r>
        <w:t>. at 37-38.</w:t>
      </w:r>
    </w:p>
  </w:footnote>
  <w:footnote w:id="12">
    <w:p w:rsidR="00181005" w:rsidRDefault="00181005">
      <w:pPr>
        <w:pStyle w:val="FootnoteText"/>
      </w:pPr>
      <w:r>
        <w:rPr>
          <w:rStyle w:val="FootnoteReference"/>
        </w:rPr>
        <w:footnoteRef/>
      </w:r>
      <w:r>
        <w:t xml:space="preserve"> </w:t>
      </w:r>
      <w:r w:rsidRPr="0006374F">
        <w:rPr>
          <w:i/>
        </w:rPr>
        <w:t>Id</w:t>
      </w:r>
      <w:r>
        <w:t>. at 40-41.</w:t>
      </w:r>
    </w:p>
  </w:footnote>
  <w:footnote w:id="13">
    <w:p w:rsidR="00181005" w:rsidRDefault="00181005">
      <w:pPr>
        <w:pStyle w:val="FootnoteText"/>
      </w:pPr>
      <w:r>
        <w:rPr>
          <w:rStyle w:val="FootnoteReference"/>
        </w:rPr>
        <w:footnoteRef/>
      </w:r>
      <w:r>
        <w:t xml:space="preserve"> </w:t>
      </w:r>
      <w:r w:rsidRPr="00B32EF8">
        <w:rPr>
          <w:i/>
        </w:rPr>
        <w:t>Id</w:t>
      </w:r>
      <w:r>
        <w:t xml:space="preserve"> at 58-60.</w:t>
      </w:r>
    </w:p>
  </w:footnote>
  <w:footnote w:id="14">
    <w:p w:rsidR="00181005" w:rsidRDefault="00181005">
      <w:pPr>
        <w:pStyle w:val="FootnoteText"/>
      </w:pPr>
      <w:r>
        <w:rPr>
          <w:rStyle w:val="FootnoteReference"/>
        </w:rPr>
        <w:footnoteRef/>
      </w:r>
      <w:r>
        <w:t xml:space="preserve"> </w:t>
      </w:r>
      <w:proofErr w:type="gramStart"/>
      <w:r w:rsidRPr="00E67973">
        <w:rPr>
          <w:i/>
        </w:rPr>
        <w:t>Id</w:t>
      </w:r>
      <w:r>
        <w:t>. at 63.</w:t>
      </w:r>
      <w:proofErr w:type="gramEnd"/>
      <w:r>
        <w:t xml:space="preserve">  </w:t>
      </w:r>
    </w:p>
  </w:footnote>
  <w:footnote w:id="15">
    <w:p w:rsidR="00181005" w:rsidRDefault="00181005">
      <w:pPr>
        <w:pStyle w:val="FootnoteText"/>
      </w:pPr>
      <w:r>
        <w:rPr>
          <w:rStyle w:val="FootnoteReference"/>
        </w:rPr>
        <w:footnoteRef/>
      </w:r>
      <w:r>
        <w:t xml:space="preserve"> </w:t>
      </w:r>
      <w:proofErr w:type="gramStart"/>
      <w:r w:rsidRPr="0029045A">
        <w:rPr>
          <w:i/>
        </w:rPr>
        <w:t>Id</w:t>
      </w:r>
      <w:r>
        <w:t>. at 64.</w:t>
      </w:r>
      <w:proofErr w:type="gramEnd"/>
      <w:r>
        <w:t xml:space="preserve">    </w:t>
      </w:r>
    </w:p>
  </w:footnote>
  <w:footnote w:id="16">
    <w:p w:rsidR="00181005" w:rsidRDefault="00181005">
      <w:pPr>
        <w:pStyle w:val="FootnoteText"/>
      </w:pPr>
      <w:r>
        <w:rPr>
          <w:rStyle w:val="FootnoteReference"/>
        </w:rPr>
        <w:footnoteRef/>
      </w:r>
      <w:r>
        <w:t xml:space="preserve"> </w:t>
      </w:r>
      <w:r w:rsidRPr="00B41A28">
        <w:rPr>
          <w:i/>
        </w:rPr>
        <w:t>Id</w:t>
      </w:r>
      <w:r>
        <w:t xml:space="preserve">.  </w:t>
      </w:r>
    </w:p>
  </w:footnote>
  <w:footnote w:id="17">
    <w:p w:rsidR="00181005" w:rsidRDefault="00181005">
      <w:pPr>
        <w:pStyle w:val="FootnoteText"/>
      </w:pPr>
      <w:r>
        <w:rPr>
          <w:rStyle w:val="FootnoteReference"/>
        </w:rPr>
        <w:footnoteRef/>
      </w:r>
      <w:r>
        <w:t xml:space="preserve"> </w:t>
      </w:r>
      <w:r w:rsidRPr="00852F31">
        <w:rPr>
          <w:i/>
        </w:rPr>
        <w:t>Id</w:t>
      </w:r>
      <w:r>
        <w:t xml:space="preserve">. at 65-66.  </w:t>
      </w:r>
    </w:p>
  </w:footnote>
  <w:footnote w:id="18">
    <w:p w:rsidR="00181005" w:rsidRDefault="00181005">
      <w:pPr>
        <w:pStyle w:val="FootnoteText"/>
      </w:pPr>
      <w:r>
        <w:rPr>
          <w:rStyle w:val="FootnoteReference"/>
        </w:rPr>
        <w:footnoteRef/>
      </w:r>
      <w:r>
        <w:t xml:space="preserve"> </w:t>
      </w:r>
      <w:r w:rsidRPr="006D7127">
        <w:rPr>
          <w:i/>
        </w:rPr>
        <w:t>Id</w:t>
      </w:r>
      <w:r>
        <w:t>. at 73-77.</w:t>
      </w:r>
    </w:p>
  </w:footnote>
  <w:footnote w:id="19">
    <w:p w:rsidR="00181005" w:rsidRDefault="00181005">
      <w:pPr>
        <w:pStyle w:val="FootnoteText"/>
      </w:pPr>
      <w:r>
        <w:rPr>
          <w:rStyle w:val="FootnoteReference"/>
        </w:rPr>
        <w:footnoteRef/>
      </w:r>
      <w:r>
        <w:t xml:space="preserve"> </w:t>
      </w:r>
      <w:r w:rsidRPr="00025B53">
        <w:rPr>
          <w:i/>
        </w:rPr>
        <w:t>Id</w:t>
      </w:r>
      <w:r>
        <w:t>. at 86-87.</w:t>
      </w:r>
    </w:p>
  </w:footnote>
  <w:footnote w:id="20">
    <w:p w:rsidR="00181005" w:rsidRDefault="00181005">
      <w:pPr>
        <w:pStyle w:val="FootnoteText"/>
      </w:pPr>
      <w:r>
        <w:rPr>
          <w:rStyle w:val="FootnoteReference"/>
        </w:rPr>
        <w:footnoteRef/>
      </w:r>
      <w:r>
        <w:t xml:space="preserve"> Id. at 90-91</w:t>
      </w:r>
      <w:proofErr w:type="gramStart"/>
      <w:r>
        <w:t>..</w:t>
      </w:r>
      <w:proofErr w:type="gramEnd"/>
    </w:p>
  </w:footnote>
  <w:footnote w:id="21">
    <w:p w:rsidR="00181005" w:rsidRDefault="00181005">
      <w:pPr>
        <w:pStyle w:val="FootnoteText"/>
      </w:pPr>
      <w:r>
        <w:rPr>
          <w:rStyle w:val="FootnoteReference"/>
        </w:rPr>
        <w:footnoteRef/>
      </w:r>
      <w:r>
        <w:t xml:space="preserve"> </w:t>
      </w:r>
      <w:r w:rsidRPr="0002743B">
        <w:rPr>
          <w:i/>
        </w:rPr>
        <w:t>Id</w:t>
      </w:r>
      <w:r>
        <w:t>. at 92-93.</w:t>
      </w:r>
    </w:p>
  </w:footnote>
  <w:footnote w:id="22">
    <w:p w:rsidR="00181005" w:rsidRDefault="00181005">
      <w:pPr>
        <w:pStyle w:val="FootnoteText"/>
      </w:pPr>
      <w:r>
        <w:rPr>
          <w:rStyle w:val="FootnoteReference"/>
        </w:rPr>
        <w:footnoteRef/>
      </w:r>
      <w:r>
        <w:t xml:space="preserve"> Id. at 94-95.</w:t>
      </w:r>
    </w:p>
  </w:footnote>
  <w:footnote w:id="23">
    <w:p w:rsidR="00181005" w:rsidRDefault="00181005">
      <w:pPr>
        <w:pStyle w:val="FootnoteText"/>
      </w:pPr>
      <w:r>
        <w:rPr>
          <w:rStyle w:val="FootnoteReference"/>
        </w:rPr>
        <w:footnoteRef/>
      </w:r>
      <w:r>
        <w:t xml:space="preserve"> </w:t>
      </w:r>
      <w:proofErr w:type="gramStart"/>
      <w:r>
        <w:t xml:space="preserve">REG-108060-15, </w:t>
      </w:r>
      <w:r w:rsidRPr="00AD6990">
        <w:rPr>
          <w:i/>
        </w:rPr>
        <w:t>Treatment of Certain Interests in Corporations as Stock or Indebtedness</w:t>
      </w:r>
      <w:r>
        <w:t xml:space="preserve">, Notice of Proposed Rulemaking (April 4, 2016) [the 2016 Section 385 </w:t>
      </w:r>
      <w:proofErr w:type="spellStart"/>
      <w:r>
        <w:t>Regs</w:t>
      </w:r>
      <w:proofErr w:type="spellEnd"/>
      <w:r>
        <w:t>.].</w:t>
      </w:r>
      <w:proofErr w:type="gramEnd"/>
    </w:p>
  </w:footnote>
  <w:footnote w:id="24">
    <w:p w:rsidR="00181005" w:rsidRPr="00CB1CA8" w:rsidRDefault="00181005" w:rsidP="00CB1CA8">
      <w:pPr>
        <w:rPr>
          <w:sz w:val="20"/>
          <w:szCs w:val="20"/>
        </w:rPr>
      </w:pPr>
      <w:r w:rsidRPr="00CB1CA8">
        <w:rPr>
          <w:rStyle w:val="FootnoteReference"/>
          <w:sz w:val="20"/>
          <w:szCs w:val="20"/>
        </w:rPr>
        <w:footnoteRef/>
      </w:r>
      <w:r w:rsidRPr="00CB1CA8">
        <w:rPr>
          <w:sz w:val="20"/>
          <w:szCs w:val="20"/>
        </w:rPr>
        <w:t xml:space="preserve"> Andrew Velarde, U.S. </w:t>
      </w:r>
      <w:r w:rsidRPr="00CB1CA8">
        <w:rPr>
          <w:i/>
          <w:sz w:val="20"/>
          <w:szCs w:val="20"/>
        </w:rPr>
        <w:t>Moves on Earnings Stripping</w:t>
      </w:r>
      <w:r w:rsidRPr="00CB1CA8">
        <w:rPr>
          <w:sz w:val="20"/>
          <w:szCs w:val="20"/>
        </w:rPr>
        <w:t>, 82 Tax Notes Int'l 130 (Apr. 11, 2016).</w:t>
      </w:r>
    </w:p>
  </w:footnote>
  <w:footnote w:id="25">
    <w:p w:rsidR="00181005" w:rsidRPr="00D73A87" w:rsidRDefault="00181005" w:rsidP="00B51C53">
      <w:pPr>
        <w:rPr>
          <w:sz w:val="20"/>
          <w:szCs w:val="20"/>
        </w:rPr>
      </w:pPr>
      <w:r>
        <w:rPr>
          <w:rStyle w:val="FootnoteReference"/>
        </w:rPr>
        <w:footnoteRef/>
      </w:r>
      <w:r>
        <w:t xml:space="preserve"> Lee A Sheppard, </w:t>
      </w:r>
      <w:r w:rsidRPr="00D73A87">
        <w:rPr>
          <w:i/>
        </w:rPr>
        <w:t>Stack Defends Debt and Equity Rules, State Aid Stance</w:t>
      </w:r>
      <w:r>
        <w:t>, 2016 Tax Notes Today 76-1 (April 19, 2016). </w:t>
      </w:r>
    </w:p>
    <w:p w:rsidR="00181005" w:rsidRDefault="00181005">
      <w:pPr>
        <w:pStyle w:val="FootnoteText"/>
      </w:pPr>
    </w:p>
  </w:footnote>
  <w:footnote w:id="26">
    <w:p w:rsidR="00181005" w:rsidRPr="00BD7187" w:rsidRDefault="00181005" w:rsidP="00B6207A">
      <w:pPr>
        <w:rPr>
          <w:sz w:val="20"/>
          <w:szCs w:val="20"/>
        </w:rPr>
      </w:pPr>
      <w:r w:rsidRPr="00BD7187">
        <w:rPr>
          <w:rStyle w:val="FootnoteReference"/>
          <w:sz w:val="20"/>
          <w:szCs w:val="20"/>
        </w:rPr>
        <w:footnoteRef/>
      </w:r>
      <w:r w:rsidRPr="00BD7187">
        <w:rPr>
          <w:sz w:val="20"/>
          <w:szCs w:val="20"/>
        </w:rPr>
        <w:t xml:space="preserve"> Andrew Velarde and Amanda </w:t>
      </w:r>
      <w:proofErr w:type="spellStart"/>
      <w:r w:rsidRPr="00BD7187">
        <w:rPr>
          <w:sz w:val="20"/>
          <w:szCs w:val="20"/>
        </w:rPr>
        <w:t>Athanasiou</w:t>
      </w:r>
      <w:proofErr w:type="spellEnd"/>
      <w:r w:rsidRPr="00BD7187">
        <w:rPr>
          <w:sz w:val="20"/>
          <w:szCs w:val="20"/>
        </w:rPr>
        <w:t xml:space="preserve">, </w:t>
      </w:r>
      <w:r w:rsidRPr="00BD7187">
        <w:rPr>
          <w:i/>
          <w:sz w:val="20"/>
          <w:szCs w:val="20"/>
        </w:rPr>
        <w:t xml:space="preserve">Earnings Stripping </w:t>
      </w:r>
      <w:proofErr w:type="spellStart"/>
      <w:r w:rsidRPr="00BD7187">
        <w:rPr>
          <w:i/>
          <w:sz w:val="20"/>
          <w:szCs w:val="20"/>
        </w:rPr>
        <w:t>Regs</w:t>
      </w:r>
      <w:proofErr w:type="spellEnd"/>
      <w:r w:rsidRPr="00BD7187">
        <w:rPr>
          <w:i/>
          <w:sz w:val="20"/>
          <w:szCs w:val="20"/>
        </w:rPr>
        <w:t xml:space="preserve"> Usher in Brave New World</w:t>
      </w:r>
      <w:r w:rsidRPr="00BD7187">
        <w:rPr>
          <w:sz w:val="20"/>
          <w:szCs w:val="20"/>
        </w:rPr>
        <w:t xml:space="preserve">, 82 Tax Notes Int'l 132 (Apr. 11, 2016).  </w:t>
      </w:r>
    </w:p>
  </w:footnote>
  <w:footnote w:id="27">
    <w:p w:rsidR="00181005" w:rsidRPr="008A35CB" w:rsidRDefault="00181005" w:rsidP="009A6076">
      <w:pPr>
        <w:spacing w:after="45"/>
        <w:rPr>
          <w:sz w:val="20"/>
          <w:szCs w:val="20"/>
        </w:rPr>
      </w:pPr>
      <w:r w:rsidRPr="008A35CB">
        <w:rPr>
          <w:rStyle w:val="FootnoteReference"/>
          <w:sz w:val="20"/>
          <w:szCs w:val="20"/>
        </w:rPr>
        <w:footnoteRef/>
      </w:r>
      <w:r w:rsidRPr="008A35CB">
        <w:rPr>
          <w:sz w:val="20"/>
          <w:szCs w:val="20"/>
        </w:rPr>
        <w:t xml:space="preserve"> Scott L. </w:t>
      </w:r>
      <w:proofErr w:type="spellStart"/>
      <w:r w:rsidRPr="008A35CB">
        <w:rPr>
          <w:sz w:val="20"/>
          <w:szCs w:val="20"/>
        </w:rPr>
        <w:t>Semer</w:t>
      </w:r>
      <w:proofErr w:type="spellEnd"/>
      <w:r w:rsidRPr="008A35CB">
        <w:rPr>
          <w:sz w:val="20"/>
          <w:szCs w:val="20"/>
        </w:rPr>
        <w:t xml:space="preserve">, </w:t>
      </w:r>
      <w:r w:rsidRPr="008A35CB">
        <w:rPr>
          <w:i/>
          <w:sz w:val="20"/>
          <w:szCs w:val="20"/>
        </w:rPr>
        <w:t>How to Enact New Tax Laws Without Involving Congress: Analyzing the Proposed Section 385 Regulations</w:t>
      </w:r>
      <w:r w:rsidRPr="008A35CB">
        <w:rPr>
          <w:sz w:val="20"/>
          <w:szCs w:val="20"/>
        </w:rPr>
        <w:t xml:space="preserve"> Bloomberg, BNA, Daily Tax Report (April 15, 2016). </w:t>
      </w:r>
    </w:p>
    <w:p w:rsidR="00181005" w:rsidRDefault="00181005" w:rsidP="009A6076">
      <w:pPr>
        <w:pStyle w:val="FootnoteText"/>
      </w:pPr>
    </w:p>
  </w:footnote>
  <w:footnote w:id="28">
    <w:p w:rsidR="00181005" w:rsidRDefault="00181005">
      <w:pPr>
        <w:pStyle w:val="FootnoteText"/>
      </w:pPr>
      <w:r>
        <w:rPr>
          <w:rStyle w:val="FootnoteReference"/>
        </w:rPr>
        <w:footnoteRef/>
      </w:r>
      <w:r>
        <w:t xml:space="preserve"> </w:t>
      </w:r>
      <w:r w:rsidRPr="006E3B8F">
        <w:rPr>
          <w:i/>
        </w:rPr>
        <w:t>Id</w:t>
      </w:r>
      <w:r>
        <w:t>. at 31-32.</w:t>
      </w:r>
    </w:p>
  </w:footnote>
  <w:footnote w:id="29">
    <w:p w:rsidR="00181005" w:rsidRDefault="00181005">
      <w:pPr>
        <w:pStyle w:val="FootnoteText"/>
      </w:pPr>
      <w:r>
        <w:rPr>
          <w:rStyle w:val="FootnoteReference"/>
        </w:rPr>
        <w:footnoteRef/>
      </w:r>
      <w:r>
        <w:t xml:space="preserve"> Id. at 35-36.</w:t>
      </w:r>
    </w:p>
  </w:footnote>
  <w:footnote w:id="30">
    <w:p w:rsidR="00181005" w:rsidRDefault="00181005">
      <w:pPr>
        <w:pStyle w:val="FootnoteText"/>
      </w:pPr>
      <w:r>
        <w:rPr>
          <w:rStyle w:val="FootnoteReference"/>
        </w:rPr>
        <w:footnoteRef/>
      </w:r>
      <w:r>
        <w:t xml:space="preserve"> </w:t>
      </w:r>
      <w:r w:rsidRPr="003C6DCF">
        <w:rPr>
          <w:i/>
        </w:rPr>
        <w:t>Id</w:t>
      </w:r>
      <w:r>
        <w:t>. at 44-46.</w:t>
      </w:r>
    </w:p>
  </w:footnote>
  <w:footnote w:id="31">
    <w:p w:rsidR="00181005" w:rsidRDefault="00181005">
      <w:pPr>
        <w:pStyle w:val="FootnoteText"/>
      </w:pPr>
      <w:r>
        <w:rPr>
          <w:rStyle w:val="FootnoteReference"/>
        </w:rPr>
        <w:footnoteRef/>
      </w:r>
      <w:r>
        <w:t xml:space="preserve"> </w:t>
      </w:r>
      <w:r w:rsidRPr="00FC2495">
        <w:rPr>
          <w:i/>
        </w:rPr>
        <w:t>Id</w:t>
      </w:r>
      <w:r>
        <w:t>. at 46-47.</w:t>
      </w:r>
    </w:p>
  </w:footnote>
  <w:footnote w:id="32">
    <w:p w:rsidR="00181005" w:rsidRDefault="00181005">
      <w:pPr>
        <w:pStyle w:val="FootnoteText"/>
      </w:pPr>
      <w:r>
        <w:rPr>
          <w:rStyle w:val="FootnoteReference"/>
        </w:rPr>
        <w:footnoteRef/>
      </w:r>
      <w:r>
        <w:t xml:space="preserve"> </w:t>
      </w:r>
      <w:proofErr w:type="gramStart"/>
      <w:r w:rsidRPr="00122F18">
        <w:rPr>
          <w:i/>
        </w:rPr>
        <w:t>Id</w:t>
      </w:r>
      <w:r>
        <w:t>. at 48.</w:t>
      </w:r>
      <w:proofErr w:type="gramEnd"/>
      <w:r>
        <w:t xml:space="preserve">  </w:t>
      </w:r>
    </w:p>
  </w:footnote>
  <w:footnote w:id="33">
    <w:p w:rsidR="00181005" w:rsidRPr="009757D5" w:rsidRDefault="00181005" w:rsidP="000A4570">
      <w:pPr>
        <w:rPr>
          <w:sz w:val="20"/>
          <w:szCs w:val="20"/>
        </w:rPr>
      </w:pPr>
      <w:r>
        <w:rPr>
          <w:rStyle w:val="FootnoteReference"/>
        </w:rPr>
        <w:footnoteRef/>
      </w:r>
      <w:r>
        <w:t xml:space="preserve"> This illustration is based on a discussion in </w:t>
      </w:r>
      <w:r w:rsidRPr="009757D5">
        <w:rPr>
          <w:sz w:val="20"/>
          <w:szCs w:val="20"/>
        </w:rPr>
        <w:t xml:space="preserve">Samuel C. Thompson, Jr. </w:t>
      </w:r>
      <w:r w:rsidRPr="000A4570">
        <w:rPr>
          <w:i/>
          <w:sz w:val="20"/>
          <w:szCs w:val="20"/>
        </w:rPr>
        <w:t>New Inversions, the ‘Joe Frazier Left Hook,’ the IRS Notice, and Pfizer</w:t>
      </w:r>
      <w:r w:rsidRPr="009757D5">
        <w:rPr>
          <w:sz w:val="20"/>
          <w:szCs w:val="20"/>
        </w:rPr>
        <w:t>, Tax Notes, 1413 (June 23, 2014).</w:t>
      </w:r>
    </w:p>
    <w:p w:rsidR="00181005" w:rsidRDefault="00181005">
      <w:pPr>
        <w:pStyle w:val="FootnoteText"/>
      </w:pPr>
    </w:p>
  </w:footnote>
  <w:footnote w:id="34">
    <w:p w:rsidR="00181005" w:rsidRPr="0070678D" w:rsidRDefault="00181005" w:rsidP="00BA3F09">
      <w:pPr>
        <w:pStyle w:val="FootnoteText"/>
      </w:pPr>
      <w:r w:rsidRPr="0070678D">
        <w:rPr>
          <w:rStyle w:val="FootnoteReference"/>
        </w:rPr>
        <w:footnoteRef/>
      </w:r>
      <w:r w:rsidRPr="0070678D">
        <w:t xml:space="preserve"> Appendix 22C of Thompson, </w:t>
      </w:r>
      <w:r w:rsidRPr="0070678D">
        <w:rPr>
          <w:i/>
        </w:rPr>
        <w:t>MATO</w:t>
      </w:r>
      <w:r w:rsidRPr="0070678D">
        <w:t xml:space="preserve">, </w:t>
      </w:r>
      <w:r w:rsidRPr="0070678D">
        <w:rPr>
          <w:i/>
        </w:rPr>
        <w:t>supra</w:t>
      </w:r>
      <w:r w:rsidRPr="0070678D">
        <w:t xml:space="preserve"> note </w:t>
      </w:r>
      <w:r>
        <w:t>2</w:t>
      </w:r>
      <w:r w:rsidRPr="0070678D">
        <w:t xml:space="preserve">, contains excerpts from the following documents used in the Endo transaction: (1) the Arrangement Agreement, which was entered into on November 5, 2013, and (2) the Proxy/Prospectus on Form S-4, which was issued on January 24, 2014.  </w:t>
      </w:r>
    </w:p>
  </w:footnote>
  <w:footnote w:id="35">
    <w:p w:rsidR="00181005" w:rsidRPr="009E139A" w:rsidRDefault="00181005" w:rsidP="00BA3F09">
      <w:pPr>
        <w:rPr>
          <w:sz w:val="20"/>
          <w:szCs w:val="20"/>
        </w:rPr>
      </w:pPr>
      <w:r>
        <w:rPr>
          <w:rStyle w:val="FootnoteReference"/>
        </w:rPr>
        <w:footnoteRef/>
      </w:r>
      <w:r>
        <w:t xml:space="preserve"> </w:t>
      </w:r>
      <w:r w:rsidRPr="009E139A">
        <w:rPr>
          <w:i/>
          <w:sz w:val="20"/>
          <w:szCs w:val="20"/>
        </w:rPr>
        <w:t>See</w:t>
      </w:r>
      <w:r w:rsidRPr="009E139A">
        <w:rPr>
          <w:sz w:val="20"/>
          <w:szCs w:val="20"/>
        </w:rPr>
        <w:t xml:space="preserve"> §III.A.1 of Appendix 22C of Thompson, </w:t>
      </w:r>
      <w:r w:rsidRPr="009E139A">
        <w:rPr>
          <w:i/>
          <w:sz w:val="20"/>
          <w:szCs w:val="20"/>
        </w:rPr>
        <w:t>MATO</w:t>
      </w:r>
      <w:r w:rsidRPr="009E139A">
        <w:rPr>
          <w:sz w:val="20"/>
          <w:szCs w:val="20"/>
        </w:rPr>
        <w:t xml:space="preserve">, </w:t>
      </w:r>
      <w:r w:rsidRPr="009E139A">
        <w:rPr>
          <w:i/>
          <w:sz w:val="20"/>
          <w:szCs w:val="20"/>
        </w:rPr>
        <w:t>supra</w:t>
      </w:r>
      <w:r>
        <w:rPr>
          <w:sz w:val="20"/>
          <w:szCs w:val="20"/>
        </w:rPr>
        <w:t xml:space="preserve"> note 2.</w:t>
      </w:r>
    </w:p>
    <w:p w:rsidR="00181005" w:rsidRDefault="00181005" w:rsidP="00BA3F09">
      <w:pPr>
        <w:pStyle w:val="FootnoteText"/>
      </w:pPr>
      <w:r>
        <w:rPr>
          <w:sz w:val="24"/>
          <w:szCs w:val="24"/>
        </w:rPr>
        <w:t xml:space="preserve"> </w:t>
      </w:r>
    </w:p>
  </w:footnote>
  <w:footnote w:id="36">
    <w:p w:rsidR="00181005" w:rsidRDefault="00181005">
      <w:pPr>
        <w:pStyle w:val="FootnoteText"/>
      </w:pPr>
      <w:r>
        <w:rPr>
          <w:rStyle w:val="FootnoteReference"/>
        </w:rPr>
        <w:footnoteRef/>
      </w:r>
      <w:r>
        <w:t xml:space="preserve"> </w:t>
      </w:r>
      <w:r w:rsidRPr="00156EEE">
        <w:rPr>
          <w:i/>
        </w:rPr>
        <w:t>Id</w:t>
      </w:r>
      <w:r>
        <w:t>. at 47-48.</w:t>
      </w:r>
    </w:p>
  </w:footnote>
  <w:footnote w:id="37">
    <w:p w:rsidR="00181005" w:rsidRDefault="00181005" w:rsidP="00CD38F8">
      <w:pPr>
        <w:pStyle w:val="FootnoteText"/>
      </w:pPr>
      <w:r>
        <w:rPr>
          <w:rStyle w:val="FootnoteReference"/>
        </w:rPr>
        <w:footnoteRef/>
      </w:r>
      <w:r>
        <w:t xml:space="preserve"> </w:t>
      </w:r>
      <w:r w:rsidRPr="00156EEE">
        <w:rPr>
          <w:i/>
        </w:rPr>
        <w:t>Id</w:t>
      </w:r>
      <w:r>
        <w:t>. at 45-46.</w:t>
      </w:r>
    </w:p>
  </w:footnote>
  <w:footnote w:id="38">
    <w:p w:rsidR="00181005" w:rsidRDefault="00181005">
      <w:pPr>
        <w:pStyle w:val="FootnoteText"/>
      </w:pPr>
      <w:r>
        <w:rPr>
          <w:rStyle w:val="FootnoteReference"/>
        </w:rPr>
        <w:footnoteRef/>
      </w:r>
      <w:r>
        <w:t xml:space="preserve"> </w:t>
      </w:r>
      <w:r w:rsidRPr="00A55219">
        <w:rPr>
          <w:i/>
        </w:rPr>
        <w:t>Id</w:t>
      </w:r>
      <w:r>
        <w:t>. at 5859</w:t>
      </w:r>
    </w:p>
  </w:footnote>
  <w:footnote w:id="39">
    <w:p w:rsidR="00181005" w:rsidRDefault="00181005">
      <w:pPr>
        <w:pStyle w:val="FootnoteText"/>
      </w:pPr>
      <w:r>
        <w:rPr>
          <w:rStyle w:val="FootnoteReference"/>
        </w:rPr>
        <w:footnoteRef/>
      </w:r>
      <w:r>
        <w:t xml:space="preserve"> </w:t>
      </w:r>
      <w:r w:rsidRPr="003D2E3D">
        <w:rPr>
          <w:i/>
        </w:rPr>
        <w:t>Id</w:t>
      </w:r>
      <w:r>
        <w:t>. at 43-44.</w:t>
      </w:r>
    </w:p>
  </w:footnote>
  <w:footnote w:id="40">
    <w:p w:rsidR="00181005" w:rsidRDefault="00181005">
      <w:pPr>
        <w:pStyle w:val="FootnoteText"/>
      </w:pPr>
      <w:r>
        <w:rPr>
          <w:rStyle w:val="FootnoteReference"/>
        </w:rPr>
        <w:footnoteRef/>
      </w:r>
      <w:r>
        <w:t xml:space="preserve"> </w:t>
      </w:r>
      <w:r w:rsidRPr="003643EC">
        <w:rPr>
          <w:i/>
        </w:rPr>
        <w:t>Id</w:t>
      </w:r>
      <w:r>
        <w:t>. at 51-53.</w:t>
      </w:r>
    </w:p>
  </w:footnote>
  <w:footnote w:id="41">
    <w:p w:rsidR="00181005" w:rsidRDefault="00181005">
      <w:pPr>
        <w:pStyle w:val="FootnoteText"/>
      </w:pPr>
      <w:r>
        <w:rPr>
          <w:rStyle w:val="FootnoteReference"/>
        </w:rPr>
        <w:footnoteRef/>
      </w:r>
      <w:r>
        <w:t xml:space="preserve"> </w:t>
      </w:r>
      <w:proofErr w:type="gramStart"/>
      <w:r w:rsidRPr="003643EC">
        <w:rPr>
          <w:i/>
        </w:rPr>
        <w:t>Id</w:t>
      </w:r>
      <w:r>
        <w:t>. at 53.</w:t>
      </w:r>
      <w:proofErr w:type="gramEnd"/>
    </w:p>
  </w:footnote>
  <w:footnote w:id="42">
    <w:p w:rsidR="00181005" w:rsidRDefault="00181005" w:rsidP="00D52EDD">
      <w:pPr>
        <w:pStyle w:val="FootnoteText"/>
      </w:pPr>
      <w:r>
        <w:rPr>
          <w:rStyle w:val="FootnoteReference"/>
        </w:rPr>
        <w:footnoteRef/>
      </w:r>
      <w:r>
        <w:t xml:space="preserve"> </w:t>
      </w:r>
      <w:proofErr w:type="gramStart"/>
      <w:r w:rsidRPr="0083211A">
        <w:rPr>
          <w:i/>
        </w:rPr>
        <w:t>Id</w:t>
      </w:r>
      <w:r>
        <w:t>. at 55.</w:t>
      </w:r>
      <w:proofErr w:type="gramEnd"/>
    </w:p>
  </w:footnote>
  <w:footnote w:id="43">
    <w:p w:rsidR="00181005" w:rsidRDefault="00181005">
      <w:pPr>
        <w:pStyle w:val="FootnoteText"/>
      </w:pPr>
      <w:r>
        <w:rPr>
          <w:rStyle w:val="FootnoteReference"/>
        </w:rPr>
        <w:footnoteRef/>
      </w:r>
      <w:r>
        <w:t xml:space="preserve"> </w:t>
      </w:r>
      <w:proofErr w:type="gramStart"/>
      <w:r w:rsidRPr="00CF2583">
        <w:rPr>
          <w:i/>
        </w:rPr>
        <w:t>Id</w:t>
      </w:r>
      <w:r>
        <w:t>. at 68.</w:t>
      </w:r>
      <w:proofErr w:type="gramEnd"/>
      <w:r>
        <w:t xml:space="preserve">  </w:t>
      </w:r>
    </w:p>
  </w:footnote>
  <w:footnote w:id="44">
    <w:p w:rsidR="00181005" w:rsidRDefault="00181005">
      <w:pPr>
        <w:pStyle w:val="FootnoteText"/>
      </w:pPr>
      <w:r>
        <w:rPr>
          <w:rStyle w:val="FootnoteReference"/>
        </w:rPr>
        <w:footnoteRef/>
      </w:r>
      <w:r>
        <w:t xml:space="preserve"> </w:t>
      </w:r>
      <w:proofErr w:type="gramStart"/>
      <w:r w:rsidRPr="00256F7D">
        <w:rPr>
          <w:i/>
        </w:rPr>
        <w:t>Id</w:t>
      </w:r>
      <w:r>
        <w:t>. at 35.</w:t>
      </w:r>
      <w:proofErr w:type="gramEnd"/>
      <w:r>
        <w:t xml:space="preserve">  </w:t>
      </w:r>
    </w:p>
  </w:footnote>
  <w:footnote w:id="45">
    <w:p w:rsidR="00181005" w:rsidRDefault="00181005">
      <w:pPr>
        <w:pStyle w:val="FootnoteText"/>
      </w:pPr>
      <w:r>
        <w:rPr>
          <w:rStyle w:val="FootnoteReference"/>
        </w:rPr>
        <w:footnoteRef/>
      </w:r>
      <w:r>
        <w:t xml:space="preserve"> </w:t>
      </w:r>
      <w:r w:rsidRPr="005E36D6">
        <w:rPr>
          <w:i/>
        </w:rPr>
        <w:t>Id</w:t>
      </w:r>
      <w:r>
        <w:t xml:space="preserve">.  </w:t>
      </w:r>
    </w:p>
  </w:footnote>
  <w:footnote w:id="46">
    <w:p w:rsidR="00181005" w:rsidRDefault="00181005">
      <w:pPr>
        <w:pStyle w:val="FootnoteText"/>
      </w:pPr>
      <w:r>
        <w:rPr>
          <w:rStyle w:val="FootnoteReference"/>
        </w:rPr>
        <w:footnoteRef/>
      </w:r>
      <w:r>
        <w:t xml:space="preserve"> Prop. </w:t>
      </w:r>
      <w:proofErr w:type="gramStart"/>
      <w:r>
        <w:t>Reg. §1.385-4(a).</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3604"/>
    <w:multiLevelType w:val="hybridMultilevel"/>
    <w:tmpl w:val="F348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F471D"/>
    <w:multiLevelType w:val="hybridMultilevel"/>
    <w:tmpl w:val="C9985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70364"/>
    <w:multiLevelType w:val="hybridMultilevel"/>
    <w:tmpl w:val="9C7A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E26470"/>
    <w:multiLevelType w:val="hybridMultilevel"/>
    <w:tmpl w:val="D3E8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E77F60"/>
    <w:multiLevelType w:val="hybridMultilevel"/>
    <w:tmpl w:val="D862C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E40648"/>
    <w:multiLevelType w:val="multilevel"/>
    <w:tmpl w:val="A1F23400"/>
    <w:lvl w:ilvl="0">
      <w:start w:val="1"/>
      <w:numFmt w:val="decimal"/>
      <w:suff w:val="space"/>
      <w:lvlText w:val="Chapter %1"/>
      <w:lvlJc w:val="left"/>
      <w:pPr>
        <w:ind w:left="0" w:firstLine="0"/>
      </w:pPr>
      <w:rPr>
        <w:rFonts w:hint="default"/>
      </w:rPr>
    </w:lvl>
    <w:lvl w:ilvl="1">
      <w:start w:val="1"/>
      <w:numFmt w:val="upperLetter"/>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lowerLetter"/>
      <w:suff w:val="nothing"/>
      <w:lvlText w:val="%4"/>
      <w:lvlJc w:val="left"/>
      <w:pPr>
        <w:ind w:left="0" w:firstLine="0"/>
      </w:pPr>
      <w:rPr>
        <w:rFonts w:hint="default"/>
      </w:rPr>
    </w:lvl>
    <w:lvl w:ilvl="4">
      <w:start w:val="1"/>
      <w:numFmt w:val="lowerRoman"/>
      <w:suff w:val="nothing"/>
      <w:lvlText w:val="%5"/>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nsid w:val="74872B99"/>
    <w:multiLevelType w:val="multilevel"/>
    <w:tmpl w:val="00E48E58"/>
    <w:lvl w:ilvl="0">
      <w:start w:val="1"/>
      <w:numFmt w:val="upperRoman"/>
      <w:pStyle w:val="Heading1"/>
      <w:lvlText w:val="%1"/>
      <w:lvlJc w:val="left"/>
      <w:pPr>
        <w:ind w:left="360" w:hanging="360"/>
      </w:pPr>
      <w:rPr>
        <w:rFonts w:hint="default"/>
        <w:b/>
        <w:i w:val="0"/>
        <w:sz w:val="28"/>
        <w:szCs w:val="28"/>
      </w:rPr>
    </w:lvl>
    <w:lvl w:ilvl="1">
      <w:start w:val="1"/>
      <w:numFmt w:val="upperLetter"/>
      <w:pStyle w:val="Heading2"/>
      <w:lvlText w:val="%2."/>
      <w:lvlJc w:val="left"/>
      <w:pPr>
        <w:tabs>
          <w:tab w:val="num" w:pos="1440"/>
        </w:tabs>
        <w:ind w:left="1440" w:hanging="360"/>
      </w:pPr>
      <w:rPr>
        <w:rFonts w:ascii="Times New Roman" w:hAnsi="Times New Roman" w:hint="default"/>
        <w:b/>
        <w:i w:val="0"/>
        <w:sz w:val="24"/>
      </w:rPr>
    </w:lvl>
    <w:lvl w:ilvl="2">
      <w:start w:val="1"/>
      <w:numFmt w:val="decimal"/>
      <w:pStyle w:val="Heading3"/>
      <w:lvlText w:val="%3."/>
      <w:lvlJc w:val="left"/>
      <w:pPr>
        <w:tabs>
          <w:tab w:val="num" w:pos="2160"/>
        </w:tabs>
        <w:ind w:left="2160" w:hanging="720"/>
      </w:pPr>
      <w:rPr>
        <w:rFonts w:ascii="Times New Roman" w:hAnsi="Times New Roman" w:cs="Times New Roman" w:hint="default"/>
      </w:rPr>
    </w:lvl>
    <w:lvl w:ilvl="3">
      <w:start w:val="1"/>
      <w:numFmt w:val="lowerLetter"/>
      <w:pStyle w:val="Heading4"/>
      <w:lvlText w:val="%4."/>
      <w:lvlJc w:val="left"/>
      <w:pPr>
        <w:tabs>
          <w:tab w:val="num" w:pos="2880"/>
        </w:tabs>
        <w:ind w:left="2880" w:hanging="720"/>
      </w:pPr>
      <w:rPr>
        <w:rFonts w:ascii="Times New Roman" w:hAnsi="Times New Roman" w:hint="default"/>
        <w:b/>
        <w:i w:val="0"/>
        <w:sz w:val="24"/>
      </w:rPr>
    </w:lvl>
    <w:lvl w:ilvl="4">
      <w:start w:val="1"/>
      <w:numFmt w:val="lowerRoman"/>
      <w:pStyle w:val="Heading5"/>
      <w:lvlText w:val="%5."/>
      <w:lvlJc w:val="left"/>
      <w:pPr>
        <w:tabs>
          <w:tab w:val="num" w:pos="3600"/>
        </w:tabs>
        <w:ind w:left="3600" w:hanging="720"/>
      </w:pPr>
      <w:rPr>
        <w:rFonts w:ascii="Times New Roman" w:hAnsi="Times New Roman" w:hint="default"/>
        <w:b/>
        <w:i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74CF0220"/>
    <w:multiLevelType w:val="hybridMultilevel"/>
    <w:tmpl w:val="50C2756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6"/>
  </w:num>
  <w:num w:numId="2">
    <w:abstractNumId w:val="5"/>
  </w:num>
  <w:num w:numId="3">
    <w:abstractNumId w:val="7"/>
  </w:num>
  <w:num w:numId="4">
    <w:abstractNumId w:val="3"/>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C1D"/>
    <w:rsid w:val="000007C1"/>
    <w:rsid w:val="00000F52"/>
    <w:rsid w:val="00002097"/>
    <w:rsid w:val="000030E6"/>
    <w:rsid w:val="00004CF3"/>
    <w:rsid w:val="00012FF9"/>
    <w:rsid w:val="00013996"/>
    <w:rsid w:val="00017DE6"/>
    <w:rsid w:val="0002088C"/>
    <w:rsid w:val="00020DFE"/>
    <w:rsid w:val="00021C19"/>
    <w:rsid w:val="0002222E"/>
    <w:rsid w:val="00022335"/>
    <w:rsid w:val="00023CDE"/>
    <w:rsid w:val="00024E88"/>
    <w:rsid w:val="00024F01"/>
    <w:rsid w:val="00025B53"/>
    <w:rsid w:val="00025EA2"/>
    <w:rsid w:val="0002743B"/>
    <w:rsid w:val="000308EF"/>
    <w:rsid w:val="00032A5E"/>
    <w:rsid w:val="00034B96"/>
    <w:rsid w:val="00035256"/>
    <w:rsid w:val="00036A1B"/>
    <w:rsid w:val="00037970"/>
    <w:rsid w:val="0004174E"/>
    <w:rsid w:val="000428FF"/>
    <w:rsid w:val="00043AB0"/>
    <w:rsid w:val="00043B56"/>
    <w:rsid w:val="00043CF2"/>
    <w:rsid w:val="00044138"/>
    <w:rsid w:val="000442AE"/>
    <w:rsid w:val="00044C74"/>
    <w:rsid w:val="00051EBC"/>
    <w:rsid w:val="000553B3"/>
    <w:rsid w:val="000577B4"/>
    <w:rsid w:val="00057807"/>
    <w:rsid w:val="0006140A"/>
    <w:rsid w:val="0006374F"/>
    <w:rsid w:val="00066CD0"/>
    <w:rsid w:val="00072E82"/>
    <w:rsid w:val="000735BD"/>
    <w:rsid w:val="00077CFA"/>
    <w:rsid w:val="0008024E"/>
    <w:rsid w:val="000806F3"/>
    <w:rsid w:val="00080C2B"/>
    <w:rsid w:val="00081644"/>
    <w:rsid w:val="00085F1E"/>
    <w:rsid w:val="000866D9"/>
    <w:rsid w:val="00092879"/>
    <w:rsid w:val="00095F5D"/>
    <w:rsid w:val="000965B9"/>
    <w:rsid w:val="00096B96"/>
    <w:rsid w:val="000977F6"/>
    <w:rsid w:val="000A0696"/>
    <w:rsid w:val="000A1296"/>
    <w:rsid w:val="000A218D"/>
    <w:rsid w:val="000A2E0F"/>
    <w:rsid w:val="000A37C8"/>
    <w:rsid w:val="000A3C9B"/>
    <w:rsid w:val="000A3EDE"/>
    <w:rsid w:val="000A4570"/>
    <w:rsid w:val="000A478A"/>
    <w:rsid w:val="000A4DB8"/>
    <w:rsid w:val="000A6618"/>
    <w:rsid w:val="000A7FD6"/>
    <w:rsid w:val="000B02CD"/>
    <w:rsid w:val="000B18E3"/>
    <w:rsid w:val="000B2CCF"/>
    <w:rsid w:val="000B3FF5"/>
    <w:rsid w:val="000B433A"/>
    <w:rsid w:val="000B58EF"/>
    <w:rsid w:val="000C01EA"/>
    <w:rsid w:val="000C0258"/>
    <w:rsid w:val="000C18E3"/>
    <w:rsid w:val="000C35C0"/>
    <w:rsid w:val="000C5F12"/>
    <w:rsid w:val="000C6EA4"/>
    <w:rsid w:val="000D09DA"/>
    <w:rsid w:val="000D1824"/>
    <w:rsid w:val="000D2850"/>
    <w:rsid w:val="000D5837"/>
    <w:rsid w:val="000D5E2C"/>
    <w:rsid w:val="000D6365"/>
    <w:rsid w:val="000E019F"/>
    <w:rsid w:val="000E08F0"/>
    <w:rsid w:val="000E1D7F"/>
    <w:rsid w:val="000E3551"/>
    <w:rsid w:val="000E4B51"/>
    <w:rsid w:val="000E4E4E"/>
    <w:rsid w:val="000E5CE3"/>
    <w:rsid w:val="000E7EAC"/>
    <w:rsid w:val="000F192E"/>
    <w:rsid w:val="000F2F35"/>
    <w:rsid w:val="000F458A"/>
    <w:rsid w:val="000F5235"/>
    <w:rsid w:val="000F62A5"/>
    <w:rsid w:val="000F72C7"/>
    <w:rsid w:val="00100DB1"/>
    <w:rsid w:val="0010275D"/>
    <w:rsid w:val="00103026"/>
    <w:rsid w:val="00104CC2"/>
    <w:rsid w:val="0010528F"/>
    <w:rsid w:val="0010573D"/>
    <w:rsid w:val="00105812"/>
    <w:rsid w:val="00106878"/>
    <w:rsid w:val="00106EE8"/>
    <w:rsid w:val="001074DB"/>
    <w:rsid w:val="00107F20"/>
    <w:rsid w:val="00110F27"/>
    <w:rsid w:val="001136D8"/>
    <w:rsid w:val="00114418"/>
    <w:rsid w:val="00115754"/>
    <w:rsid w:val="001159D3"/>
    <w:rsid w:val="00116EFC"/>
    <w:rsid w:val="00120BCB"/>
    <w:rsid w:val="00120DF4"/>
    <w:rsid w:val="00121161"/>
    <w:rsid w:val="00122F18"/>
    <w:rsid w:val="00124372"/>
    <w:rsid w:val="00124B88"/>
    <w:rsid w:val="00125640"/>
    <w:rsid w:val="00127A30"/>
    <w:rsid w:val="00130439"/>
    <w:rsid w:val="00133D80"/>
    <w:rsid w:val="00135249"/>
    <w:rsid w:val="00135B0B"/>
    <w:rsid w:val="00136737"/>
    <w:rsid w:val="00140001"/>
    <w:rsid w:val="00142D30"/>
    <w:rsid w:val="00143CD8"/>
    <w:rsid w:val="00146636"/>
    <w:rsid w:val="00147E48"/>
    <w:rsid w:val="00152EDE"/>
    <w:rsid w:val="0015387C"/>
    <w:rsid w:val="00155908"/>
    <w:rsid w:val="00155A3B"/>
    <w:rsid w:val="00156002"/>
    <w:rsid w:val="00156EEE"/>
    <w:rsid w:val="00157E39"/>
    <w:rsid w:val="001656C0"/>
    <w:rsid w:val="0016687B"/>
    <w:rsid w:val="00167814"/>
    <w:rsid w:val="00167887"/>
    <w:rsid w:val="00167A38"/>
    <w:rsid w:val="00170C97"/>
    <w:rsid w:val="00175771"/>
    <w:rsid w:val="00175F96"/>
    <w:rsid w:val="0017635A"/>
    <w:rsid w:val="0017645C"/>
    <w:rsid w:val="00181005"/>
    <w:rsid w:val="001831E5"/>
    <w:rsid w:val="00186A6E"/>
    <w:rsid w:val="00190855"/>
    <w:rsid w:val="001922B1"/>
    <w:rsid w:val="001931F8"/>
    <w:rsid w:val="0019462A"/>
    <w:rsid w:val="00196B0E"/>
    <w:rsid w:val="00196EFA"/>
    <w:rsid w:val="001979C5"/>
    <w:rsid w:val="001A11A3"/>
    <w:rsid w:val="001A254C"/>
    <w:rsid w:val="001A344E"/>
    <w:rsid w:val="001B116B"/>
    <w:rsid w:val="001B324F"/>
    <w:rsid w:val="001B3964"/>
    <w:rsid w:val="001B674F"/>
    <w:rsid w:val="001C33E2"/>
    <w:rsid w:val="001C61A1"/>
    <w:rsid w:val="001D3F7D"/>
    <w:rsid w:val="001D4B35"/>
    <w:rsid w:val="001E0247"/>
    <w:rsid w:val="001E27C0"/>
    <w:rsid w:val="001E3655"/>
    <w:rsid w:val="001E5149"/>
    <w:rsid w:val="001E54E3"/>
    <w:rsid w:val="001E7139"/>
    <w:rsid w:val="001F1B0E"/>
    <w:rsid w:val="001F2BF3"/>
    <w:rsid w:val="001F306E"/>
    <w:rsid w:val="001F3229"/>
    <w:rsid w:val="001F3849"/>
    <w:rsid w:val="001F49DA"/>
    <w:rsid w:val="001F5454"/>
    <w:rsid w:val="001F79CA"/>
    <w:rsid w:val="001F7D00"/>
    <w:rsid w:val="0020400B"/>
    <w:rsid w:val="0020517A"/>
    <w:rsid w:val="002052CB"/>
    <w:rsid w:val="002052E3"/>
    <w:rsid w:val="00207F8F"/>
    <w:rsid w:val="002107C8"/>
    <w:rsid w:val="00215C0B"/>
    <w:rsid w:val="00216143"/>
    <w:rsid w:val="00220EDB"/>
    <w:rsid w:val="002231FC"/>
    <w:rsid w:val="0022491D"/>
    <w:rsid w:val="00224C1D"/>
    <w:rsid w:val="0022703C"/>
    <w:rsid w:val="0022709E"/>
    <w:rsid w:val="00227E7F"/>
    <w:rsid w:val="00231DB5"/>
    <w:rsid w:val="0023226F"/>
    <w:rsid w:val="002363F5"/>
    <w:rsid w:val="00240D19"/>
    <w:rsid w:val="0024204B"/>
    <w:rsid w:val="00242AC5"/>
    <w:rsid w:val="0024507C"/>
    <w:rsid w:val="0024590A"/>
    <w:rsid w:val="0025345C"/>
    <w:rsid w:val="002537DE"/>
    <w:rsid w:val="00256F7D"/>
    <w:rsid w:val="00257096"/>
    <w:rsid w:val="002572E2"/>
    <w:rsid w:val="0026231D"/>
    <w:rsid w:val="00265406"/>
    <w:rsid w:val="002662F2"/>
    <w:rsid w:val="00271B96"/>
    <w:rsid w:val="002776F1"/>
    <w:rsid w:val="002810AC"/>
    <w:rsid w:val="00281BDC"/>
    <w:rsid w:val="00281CF7"/>
    <w:rsid w:val="0029045A"/>
    <w:rsid w:val="00292484"/>
    <w:rsid w:val="0029263D"/>
    <w:rsid w:val="00292A7A"/>
    <w:rsid w:val="00293338"/>
    <w:rsid w:val="0029754D"/>
    <w:rsid w:val="002A0D09"/>
    <w:rsid w:val="002A25A3"/>
    <w:rsid w:val="002A3F74"/>
    <w:rsid w:val="002A7F9B"/>
    <w:rsid w:val="002B1D98"/>
    <w:rsid w:val="002B24F4"/>
    <w:rsid w:val="002B6DAE"/>
    <w:rsid w:val="002B76DF"/>
    <w:rsid w:val="002C0E9E"/>
    <w:rsid w:val="002C1DEC"/>
    <w:rsid w:val="002C23BD"/>
    <w:rsid w:val="002C3095"/>
    <w:rsid w:val="002C408B"/>
    <w:rsid w:val="002C5CBC"/>
    <w:rsid w:val="002C671E"/>
    <w:rsid w:val="002C74D5"/>
    <w:rsid w:val="002C7929"/>
    <w:rsid w:val="002D005A"/>
    <w:rsid w:val="002D0A71"/>
    <w:rsid w:val="002D3633"/>
    <w:rsid w:val="002D40BA"/>
    <w:rsid w:val="002D6953"/>
    <w:rsid w:val="002D70AD"/>
    <w:rsid w:val="002E0CF3"/>
    <w:rsid w:val="002E2A77"/>
    <w:rsid w:val="002E725E"/>
    <w:rsid w:val="002E7574"/>
    <w:rsid w:val="002E7E46"/>
    <w:rsid w:val="002F1BD1"/>
    <w:rsid w:val="002F55A5"/>
    <w:rsid w:val="002F66E4"/>
    <w:rsid w:val="002F74BD"/>
    <w:rsid w:val="003001DB"/>
    <w:rsid w:val="003020C0"/>
    <w:rsid w:val="003027C5"/>
    <w:rsid w:val="00303E58"/>
    <w:rsid w:val="00304D30"/>
    <w:rsid w:val="00304EE8"/>
    <w:rsid w:val="003064C1"/>
    <w:rsid w:val="00311A87"/>
    <w:rsid w:val="00313B6A"/>
    <w:rsid w:val="003145D5"/>
    <w:rsid w:val="0031571E"/>
    <w:rsid w:val="00316F87"/>
    <w:rsid w:val="003204EC"/>
    <w:rsid w:val="00321088"/>
    <w:rsid w:val="0032356E"/>
    <w:rsid w:val="003239F6"/>
    <w:rsid w:val="003267BD"/>
    <w:rsid w:val="003275AA"/>
    <w:rsid w:val="00327679"/>
    <w:rsid w:val="00327E91"/>
    <w:rsid w:val="0033050B"/>
    <w:rsid w:val="00333525"/>
    <w:rsid w:val="00334D12"/>
    <w:rsid w:val="00336F60"/>
    <w:rsid w:val="003401AD"/>
    <w:rsid w:val="0034022F"/>
    <w:rsid w:val="0034290A"/>
    <w:rsid w:val="00342BD7"/>
    <w:rsid w:val="00342F25"/>
    <w:rsid w:val="00343F5C"/>
    <w:rsid w:val="003441FC"/>
    <w:rsid w:val="003467FF"/>
    <w:rsid w:val="0035236F"/>
    <w:rsid w:val="00352674"/>
    <w:rsid w:val="00361E90"/>
    <w:rsid w:val="00362D3A"/>
    <w:rsid w:val="003643EC"/>
    <w:rsid w:val="00366B0E"/>
    <w:rsid w:val="00367133"/>
    <w:rsid w:val="00367D41"/>
    <w:rsid w:val="00372221"/>
    <w:rsid w:val="00372C18"/>
    <w:rsid w:val="00373C23"/>
    <w:rsid w:val="00373EDE"/>
    <w:rsid w:val="00373FE5"/>
    <w:rsid w:val="00375137"/>
    <w:rsid w:val="00375A41"/>
    <w:rsid w:val="00376216"/>
    <w:rsid w:val="003805C8"/>
    <w:rsid w:val="0038322F"/>
    <w:rsid w:val="00383700"/>
    <w:rsid w:val="00383999"/>
    <w:rsid w:val="00384BF0"/>
    <w:rsid w:val="003859B1"/>
    <w:rsid w:val="003862F0"/>
    <w:rsid w:val="00387016"/>
    <w:rsid w:val="00391C6B"/>
    <w:rsid w:val="00392F8B"/>
    <w:rsid w:val="003932BB"/>
    <w:rsid w:val="00395317"/>
    <w:rsid w:val="00396D89"/>
    <w:rsid w:val="00397194"/>
    <w:rsid w:val="00397D6F"/>
    <w:rsid w:val="003A275B"/>
    <w:rsid w:val="003A3B49"/>
    <w:rsid w:val="003A4E0F"/>
    <w:rsid w:val="003A6FFB"/>
    <w:rsid w:val="003B3F20"/>
    <w:rsid w:val="003B401D"/>
    <w:rsid w:val="003B612D"/>
    <w:rsid w:val="003B6BFC"/>
    <w:rsid w:val="003C1B00"/>
    <w:rsid w:val="003C1BB2"/>
    <w:rsid w:val="003C4545"/>
    <w:rsid w:val="003C5AB6"/>
    <w:rsid w:val="003C6D54"/>
    <w:rsid w:val="003C6DCF"/>
    <w:rsid w:val="003C7162"/>
    <w:rsid w:val="003D06D8"/>
    <w:rsid w:val="003D0794"/>
    <w:rsid w:val="003D0CEB"/>
    <w:rsid w:val="003D2E3D"/>
    <w:rsid w:val="003D4A6F"/>
    <w:rsid w:val="003D4EB3"/>
    <w:rsid w:val="003D4FBC"/>
    <w:rsid w:val="003D68DE"/>
    <w:rsid w:val="003E18A3"/>
    <w:rsid w:val="003E270D"/>
    <w:rsid w:val="003E6B33"/>
    <w:rsid w:val="003F132B"/>
    <w:rsid w:val="003F606E"/>
    <w:rsid w:val="0040238A"/>
    <w:rsid w:val="0040738B"/>
    <w:rsid w:val="00407882"/>
    <w:rsid w:val="00412BFB"/>
    <w:rsid w:val="00417009"/>
    <w:rsid w:val="004204A1"/>
    <w:rsid w:val="0042051A"/>
    <w:rsid w:val="00420847"/>
    <w:rsid w:val="0042139B"/>
    <w:rsid w:val="00421ABD"/>
    <w:rsid w:val="00421BB8"/>
    <w:rsid w:val="0042350C"/>
    <w:rsid w:val="004239D4"/>
    <w:rsid w:val="00424C2F"/>
    <w:rsid w:val="00426946"/>
    <w:rsid w:val="004301F2"/>
    <w:rsid w:val="004322A3"/>
    <w:rsid w:val="0043615F"/>
    <w:rsid w:val="0043645F"/>
    <w:rsid w:val="00440112"/>
    <w:rsid w:val="0044118B"/>
    <w:rsid w:val="004426EA"/>
    <w:rsid w:val="0044319E"/>
    <w:rsid w:val="00444850"/>
    <w:rsid w:val="00452ED3"/>
    <w:rsid w:val="00454A34"/>
    <w:rsid w:val="004558B9"/>
    <w:rsid w:val="00460798"/>
    <w:rsid w:val="00460B64"/>
    <w:rsid w:val="0046383E"/>
    <w:rsid w:val="00466462"/>
    <w:rsid w:val="00467BC6"/>
    <w:rsid w:val="004706D9"/>
    <w:rsid w:val="00475ABC"/>
    <w:rsid w:val="00477334"/>
    <w:rsid w:val="004839E0"/>
    <w:rsid w:val="00485E6D"/>
    <w:rsid w:val="00491B7F"/>
    <w:rsid w:val="00492845"/>
    <w:rsid w:val="00494E32"/>
    <w:rsid w:val="0049652E"/>
    <w:rsid w:val="004969B0"/>
    <w:rsid w:val="00496EE3"/>
    <w:rsid w:val="004A0475"/>
    <w:rsid w:val="004A0A5A"/>
    <w:rsid w:val="004A0A6A"/>
    <w:rsid w:val="004A14E3"/>
    <w:rsid w:val="004A3429"/>
    <w:rsid w:val="004A4E80"/>
    <w:rsid w:val="004B1A6F"/>
    <w:rsid w:val="004B1EE1"/>
    <w:rsid w:val="004B2F70"/>
    <w:rsid w:val="004B3672"/>
    <w:rsid w:val="004B3800"/>
    <w:rsid w:val="004B4447"/>
    <w:rsid w:val="004B4B18"/>
    <w:rsid w:val="004B5E40"/>
    <w:rsid w:val="004B5FFB"/>
    <w:rsid w:val="004B61A3"/>
    <w:rsid w:val="004B68FB"/>
    <w:rsid w:val="004B69A2"/>
    <w:rsid w:val="004C07CF"/>
    <w:rsid w:val="004C2327"/>
    <w:rsid w:val="004C4DA7"/>
    <w:rsid w:val="004C64C1"/>
    <w:rsid w:val="004C7096"/>
    <w:rsid w:val="004C7973"/>
    <w:rsid w:val="004C7F01"/>
    <w:rsid w:val="004D02BC"/>
    <w:rsid w:val="004D106D"/>
    <w:rsid w:val="004D1812"/>
    <w:rsid w:val="004D1A68"/>
    <w:rsid w:val="004D2A5D"/>
    <w:rsid w:val="004D3062"/>
    <w:rsid w:val="004D30E8"/>
    <w:rsid w:val="004D34C7"/>
    <w:rsid w:val="004D34D0"/>
    <w:rsid w:val="004D5605"/>
    <w:rsid w:val="004D5A58"/>
    <w:rsid w:val="004D5F91"/>
    <w:rsid w:val="004D6161"/>
    <w:rsid w:val="004D631B"/>
    <w:rsid w:val="004D6FEE"/>
    <w:rsid w:val="004D7A53"/>
    <w:rsid w:val="004E0893"/>
    <w:rsid w:val="004E1AB2"/>
    <w:rsid w:val="004E1E35"/>
    <w:rsid w:val="004E2BDE"/>
    <w:rsid w:val="004E3BFA"/>
    <w:rsid w:val="004E700B"/>
    <w:rsid w:val="004F0847"/>
    <w:rsid w:val="004F33C0"/>
    <w:rsid w:val="004F5C81"/>
    <w:rsid w:val="004F7E1A"/>
    <w:rsid w:val="0050173C"/>
    <w:rsid w:val="005044D4"/>
    <w:rsid w:val="00504D58"/>
    <w:rsid w:val="0050529F"/>
    <w:rsid w:val="005058CB"/>
    <w:rsid w:val="00506785"/>
    <w:rsid w:val="00506825"/>
    <w:rsid w:val="00506AA6"/>
    <w:rsid w:val="005071FD"/>
    <w:rsid w:val="0050758A"/>
    <w:rsid w:val="005077C5"/>
    <w:rsid w:val="00510166"/>
    <w:rsid w:val="005101C1"/>
    <w:rsid w:val="00511143"/>
    <w:rsid w:val="00511750"/>
    <w:rsid w:val="00511DB9"/>
    <w:rsid w:val="005121D7"/>
    <w:rsid w:val="005141AB"/>
    <w:rsid w:val="00514B40"/>
    <w:rsid w:val="00514C2A"/>
    <w:rsid w:val="00516480"/>
    <w:rsid w:val="005174B8"/>
    <w:rsid w:val="00521325"/>
    <w:rsid w:val="00521413"/>
    <w:rsid w:val="005215CB"/>
    <w:rsid w:val="00521CE1"/>
    <w:rsid w:val="00522236"/>
    <w:rsid w:val="00523DFF"/>
    <w:rsid w:val="0052644D"/>
    <w:rsid w:val="005265B8"/>
    <w:rsid w:val="0052701A"/>
    <w:rsid w:val="00530633"/>
    <w:rsid w:val="00531E98"/>
    <w:rsid w:val="005321F1"/>
    <w:rsid w:val="0053640D"/>
    <w:rsid w:val="00537F8A"/>
    <w:rsid w:val="00544531"/>
    <w:rsid w:val="00544EFE"/>
    <w:rsid w:val="00544F5B"/>
    <w:rsid w:val="0055018E"/>
    <w:rsid w:val="00550638"/>
    <w:rsid w:val="00556091"/>
    <w:rsid w:val="00557BE1"/>
    <w:rsid w:val="00561166"/>
    <w:rsid w:val="00561F0B"/>
    <w:rsid w:val="00563378"/>
    <w:rsid w:val="00563FDD"/>
    <w:rsid w:val="00565DDB"/>
    <w:rsid w:val="005702EE"/>
    <w:rsid w:val="005706A8"/>
    <w:rsid w:val="00570D62"/>
    <w:rsid w:val="005740F2"/>
    <w:rsid w:val="005751D7"/>
    <w:rsid w:val="0057609B"/>
    <w:rsid w:val="00576359"/>
    <w:rsid w:val="00576DE1"/>
    <w:rsid w:val="00580AE2"/>
    <w:rsid w:val="00581F7D"/>
    <w:rsid w:val="005841EE"/>
    <w:rsid w:val="00585F0C"/>
    <w:rsid w:val="0059322C"/>
    <w:rsid w:val="00593F43"/>
    <w:rsid w:val="0059460D"/>
    <w:rsid w:val="005946B5"/>
    <w:rsid w:val="00594862"/>
    <w:rsid w:val="005A23D2"/>
    <w:rsid w:val="005A26D0"/>
    <w:rsid w:val="005A2B8F"/>
    <w:rsid w:val="005A36C0"/>
    <w:rsid w:val="005A76EB"/>
    <w:rsid w:val="005A79A5"/>
    <w:rsid w:val="005B20D3"/>
    <w:rsid w:val="005B7935"/>
    <w:rsid w:val="005C2033"/>
    <w:rsid w:val="005C26B9"/>
    <w:rsid w:val="005C2718"/>
    <w:rsid w:val="005C2F30"/>
    <w:rsid w:val="005C3124"/>
    <w:rsid w:val="005C3EA5"/>
    <w:rsid w:val="005C6314"/>
    <w:rsid w:val="005C66B8"/>
    <w:rsid w:val="005D0FD3"/>
    <w:rsid w:val="005D5A4B"/>
    <w:rsid w:val="005D6C7B"/>
    <w:rsid w:val="005D726C"/>
    <w:rsid w:val="005D7BF9"/>
    <w:rsid w:val="005E020D"/>
    <w:rsid w:val="005E16DA"/>
    <w:rsid w:val="005E34E5"/>
    <w:rsid w:val="005E36D6"/>
    <w:rsid w:val="005E3722"/>
    <w:rsid w:val="005E68C1"/>
    <w:rsid w:val="005F4D2D"/>
    <w:rsid w:val="0060135B"/>
    <w:rsid w:val="00601C1E"/>
    <w:rsid w:val="00602C3F"/>
    <w:rsid w:val="00605042"/>
    <w:rsid w:val="00610094"/>
    <w:rsid w:val="00613045"/>
    <w:rsid w:val="006133BC"/>
    <w:rsid w:val="00616280"/>
    <w:rsid w:val="00617B6F"/>
    <w:rsid w:val="00617C8B"/>
    <w:rsid w:val="006214E0"/>
    <w:rsid w:val="00622C70"/>
    <w:rsid w:val="00623436"/>
    <w:rsid w:val="00623BD2"/>
    <w:rsid w:val="00624841"/>
    <w:rsid w:val="0062678C"/>
    <w:rsid w:val="006310C1"/>
    <w:rsid w:val="0063400F"/>
    <w:rsid w:val="00635263"/>
    <w:rsid w:val="00635422"/>
    <w:rsid w:val="00640156"/>
    <w:rsid w:val="00640364"/>
    <w:rsid w:val="00640415"/>
    <w:rsid w:val="00640AC4"/>
    <w:rsid w:val="00641D02"/>
    <w:rsid w:val="00642A6D"/>
    <w:rsid w:val="006437C2"/>
    <w:rsid w:val="00646576"/>
    <w:rsid w:val="0065013D"/>
    <w:rsid w:val="00654523"/>
    <w:rsid w:val="006560EA"/>
    <w:rsid w:val="0065765B"/>
    <w:rsid w:val="006576E6"/>
    <w:rsid w:val="00657710"/>
    <w:rsid w:val="00660FF6"/>
    <w:rsid w:val="00662E62"/>
    <w:rsid w:val="00664083"/>
    <w:rsid w:val="006653EB"/>
    <w:rsid w:val="0066579E"/>
    <w:rsid w:val="006661E2"/>
    <w:rsid w:val="00667B56"/>
    <w:rsid w:val="006716B1"/>
    <w:rsid w:val="00672138"/>
    <w:rsid w:val="00672369"/>
    <w:rsid w:val="006724DB"/>
    <w:rsid w:val="0067275D"/>
    <w:rsid w:val="00672BC3"/>
    <w:rsid w:val="006733BD"/>
    <w:rsid w:val="006737E6"/>
    <w:rsid w:val="00676147"/>
    <w:rsid w:val="006768D3"/>
    <w:rsid w:val="00681A5B"/>
    <w:rsid w:val="0068315F"/>
    <w:rsid w:val="006837AE"/>
    <w:rsid w:val="006841FB"/>
    <w:rsid w:val="006851C5"/>
    <w:rsid w:val="00685D57"/>
    <w:rsid w:val="00686487"/>
    <w:rsid w:val="006874B0"/>
    <w:rsid w:val="006901CB"/>
    <w:rsid w:val="00690F73"/>
    <w:rsid w:val="00691441"/>
    <w:rsid w:val="00693151"/>
    <w:rsid w:val="00693419"/>
    <w:rsid w:val="00694580"/>
    <w:rsid w:val="00695835"/>
    <w:rsid w:val="00696E0F"/>
    <w:rsid w:val="006A269A"/>
    <w:rsid w:val="006A3366"/>
    <w:rsid w:val="006A6089"/>
    <w:rsid w:val="006A661C"/>
    <w:rsid w:val="006B20D8"/>
    <w:rsid w:val="006B2CAC"/>
    <w:rsid w:val="006B2EDA"/>
    <w:rsid w:val="006B3F4C"/>
    <w:rsid w:val="006B5AA9"/>
    <w:rsid w:val="006C1027"/>
    <w:rsid w:val="006C2935"/>
    <w:rsid w:val="006C3906"/>
    <w:rsid w:val="006C5990"/>
    <w:rsid w:val="006D3115"/>
    <w:rsid w:val="006D3B49"/>
    <w:rsid w:val="006D7127"/>
    <w:rsid w:val="006D748A"/>
    <w:rsid w:val="006E36B5"/>
    <w:rsid w:val="006E3B8F"/>
    <w:rsid w:val="006E4324"/>
    <w:rsid w:val="006E5432"/>
    <w:rsid w:val="006E6A60"/>
    <w:rsid w:val="006F0272"/>
    <w:rsid w:val="006F1517"/>
    <w:rsid w:val="006F15C8"/>
    <w:rsid w:val="006F1869"/>
    <w:rsid w:val="006F2916"/>
    <w:rsid w:val="006F37A5"/>
    <w:rsid w:val="006F3933"/>
    <w:rsid w:val="006F593F"/>
    <w:rsid w:val="006F5A2D"/>
    <w:rsid w:val="006F7019"/>
    <w:rsid w:val="006F7665"/>
    <w:rsid w:val="00702599"/>
    <w:rsid w:val="007035EE"/>
    <w:rsid w:val="00704DF6"/>
    <w:rsid w:val="007068F9"/>
    <w:rsid w:val="00707973"/>
    <w:rsid w:val="007123A9"/>
    <w:rsid w:val="007138D0"/>
    <w:rsid w:val="007154BF"/>
    <w:rsid w:val="00716E0C"/>
    <w:rsid w:val="00720597"/>
    <w:rsid w:val="007208D9"/>
    <w:rsid w:val="00721017"/>
    <w:rsid w:val="007220EE"/>
    <w:rsid w:val="00722480"/>
    <w:rsid w:val="0072343B"/>
    <w:rsid w:val="0072353D"/>
    <w:rsid w:val="00724FEE"/>
    <w:rsid w:val="00725D0A"/>
    <w:rsid w:val="0072694A"/>
    <w:rsid w:val="0073012A"/>
    <w:rsid w:val="00731B52"/>
    <w:rsid w:val="0073264F"/>
    <w:rsid w:val="00733E55"/>
    <w:rsid w:val="007347D9"/>
    <w:rsid w:val="00735A7C"/>
    <w:rsid w:val="00736A85"/>
    <w:rsid w:val="00750273"/>
    <w:rsid w:val="0075065C"/>
    <w:rsid w:val="00750E94"/>
    <w:rsid w:val="007514E8"/>
    <w:rsid w:val="007530E5"/>
    <w:rsid w:val="00753DE7"/>
    <w:rsid w:val="00754332"/>
    <w:rsid w:val="00756738"/>
    <w:rsid w:val="00757D7F"/>
    <w:rsid w:val="007613FE"/>
    <w:rsid w:val="00764C8A"/>
    <w:rsid w:val="007650F9"/>
    <w:rsid w:val="00766260"/>
    <w:rsid w:val="00766CDE"/>
    <w:rsid w:val="00767D37"/>
    <w:rsid w:val="00770111"/>
    <w:rsid w:val="0077028F"/>
    <w:rsid w:val="0077041C"/>
    <w:rsid w:val="007711BD"/>
    <w:rsid w:val="00772B83"/>
    <w:rsid w:val="00772ECF"/>
    <w:rsid w:val="007732FA"/>
    <w:rsid w:val="00774D23"/>
    <w:rsid w:val="00776C4B"/>
    <w:rsid w:val="007828D4"/>
    <w:rsid w:val="00787190"/>
    <w:rsid w:val="00790A52"/>
    <w:rsid w:val="00792645"/>
    <w:rsid w:val="00793671"/>
    <w:rsid w:val="0079477F"/>
    <w:rsid w:val="00794875"/>
    <w:rsid w:val="00797442"/>
    <w:rsid w:val="00797C2F"/>
    <w:rsid w:val="007A01F6"/>
    <w:rsid w:val="007A1499"/>
    <w:rsid w:val="007A346B"/>
    <w:rsid w:val="007B0E71"/>
    <w:rsid w:val="007B4DD7"/>
    <w:rsid w:val="007B4F8E"/>
    <w:rsid w:val="007B5394"/>
    <w:rsid w:val="007B5AB2"/>
    <w:rsid w:val="007B5D62"/>
    <w:rsid w:val="007B7706"/>
    <w:rsid w:val="007C2073"/>
    <w:rsid w:val="007C256F"/>
    <w:rsid w:val="007C2B87"/>
    <w:rsid w:val="007C612D"/>
    <w:rsid w:val="007D28FA"/>
    <w:rsid w:val="007D2C89"/>
    <w:rsid w:val="007D2D65"/>
    <w:rsid w:val="007D4CE3"/>
    <w:rsid w:val="007D6B73"/>
    <w:rsid w:val="007D6F78"/>
    <w:rsid w:val="007E0BBD"/>
    <w:rsid w:val="007E5909"/>
    <w:rsid w:val="007E6229"/>
    <w:rsid w:val="007E72F2"/>
    <w:rsid w:val="007F010F"/>
    <w:rsid w:val="007F1B29"/>
    <w:rsid w:val="007F21E3"/>
    <w:rsid w:val="007F2675"/>
    <w:rsid w:val="007F3602"/>
    <w:rsid w:val="007F6AAC"/>
    <w:rsid w:val="007F6FC4"/>
    <w:rsid w:val="008005F5"/>
    <w:rsid w:val="008028CB"/>
    <w:rsid w:val="008050CE"/>
    <w:rsid w:val="00805C8F"/>
    <w:rsid w:val="00810EFB"/>
    <w:rsid w:val="00811064"/>
    <w:rsid w:val="00813BAA"/>
    <w:rsid w:val="00814021"/>
    <w:rsid w:val="0081433A"/>
    <w:rsid w:val="00815D81"/>
    <w:rsid w:val="00816C05"/>
    <w:rsid w:val="0081739E"/>
    <w:rsid w:val="008251A8"/>
    <w:rsid w:val="008313A1"/>
    <w:rsid w:val="00833A7B"/>
    <w:rsid w:val="00835BC9"/>
    <w:rsid w:val="00836804"/>
    <w:rsid w:val="00836B01"/>
    <w:rsid w:val="00836D2B"/>
    <w:rsid w:val="008371DA"/>
    <w:rsid w:val="0084049A"/>
    <w:rsid w:val="008468AA"/>
    <w:rsid w:val="00847ECF"/>
    <w:rsid w:val="008502EB"/>
    <w:rsid w:val="00850FFD"/>
    <w:rsid w:val="00851418"/>
    <w:rsid w:val="0085172B"/>
    <w:rsid w:val="00851D0E"/>
    <w:rsid w:val="00852F31"/>
    <w:rsid w:val="00855D5E"/>
    <w:rsid w:val="008560E8"/>
    <w:rsid w:val="00856A30"/>
    <w:rsid w:val="008602BA"/>
    <w:rsid w:val="00860EE9"/>
    <w:rsid w:val="008614C9"/>
    <w:rsid w:val="008628CE"/>
    <w:rsid w:val="00862C48"/>
    <w:rsid w:val="00862FC5"/>
    <w:rsid w:val="00866913"/>
    <w:rsid w:val="0087042C"/>
    <w:rsid w:val="008714A0"/>
    <w:rsid w:val="00874AAC"/>
    <w:rsid w:val="00881CA2"/>
    <w:rsid w:val="008828CD"/>
    <w:rsid w:val="008832F9"/>
    <w:rsid w:val="0088402A"/>
    <w:rsid w:val="00884B27"/>
    <w:rsid w:val="0088734C"/>
    <w:rsid w:val="0089016F"/>
    <w:rsid w:val="008910A4"/>
    <w:rsid w:val="00892A44"/>
    <w:rsid w:val="00892EB0"/>
    <w:rsid w:val="008944A8"/>
    <w:rsid w:val="00894BCB"/>
    <w:rsid w:val="0089557B"/>
    <w:rsid w:val="008957BF"/>
    <w:rsid w:val="0089694D"/>
    <w:rsid w:val="0089728D"/>
    <w:rsid w:val="008972B2"/>
    <w:rsid w:val="0089731E"/>
    <w:rsid w:val="008975E3"/>
    <w:rsid w:val="008A17F7"/>
    <w:rsid w:val="008A1D1B"/>
    <w:rsid w:val="008A2EBA"/>
    <w:rsid w:val="008A35CB"/>
    <w:rsid w:val="008B3475"/>
    <w:rsid w:val="008B65CE"/>
    <w:rsid w:val="008B7F65"/>
    <w:rsid w:val="008C1271"/>
    <w:rsid w:val="008C3A41"/>
    <w:rsid w:val="008C4121"/>
    <w:rsid w:val="008C64B0"/>
    <w:rsid w:val="008C7756"/>
    <w:rsid w:val="008D1DD1"/>
    <w:rsid w:val="008D2B94"/>
    <w:rsid w:val="008D3095"/>
    <w:rsid w:val="008D5466"/>
    <w:rsid w:val="008D7CC2"/>
    <w:rsid w:val="008E1442"/>
    <w:rsid w:val="008E1A12"/>
    <w:rsid w:val="008E3283"/>
    <w:rsid w:val="008E3F5F"/>
    <w:rsid w:val="008E536C"/>
    <w:rsid w:val="008E73AF"/>
    <w:rsid w:val="008F10BF"/>
    <w:rsid w:val="0090046C"/>
    <w:rsid w:val="00900CA3"/>
    <w:rsid w:val="00904D79"/>
    <w:rsid w:val="00905971"/>
    <w:rsid w:val="00907330"/>
    <w:rsid w:val="00907907"/>
    <w:rsid w:val="00907CE0"/>
    <w:rsid w:val="00911C14"/>
    <w:rsid w:val="0091397F"/>
    <w:rsid w:val="00915D94"/>
    <w:rsid w:val="00917F46"/>
    <w:rsid w:val="009216D5"/>
    <w:rsid w:val="009220A1"/>
    <w:rsid w:val="00924823"/>
    <w:rsid w:val="00926E2C"/>
    <w:rsid w:val="00926F4C"/>
    <w:rsid w:val="0092747E"/>
    <w:rsid w:val="00931478"/>
    <w:rsid w:val="00932B5D"/>
    <w:rsid w:val="00932FF9"/>
    <w:rsid w:val="00933755"/>
    <w:rsid w:val="00934687"/>
    <w:rsid w:val="00940015"/>
    <w:rsid w:val="009435F8"/>
    <w:rsid w:val="00943A6D"/>
    <w:rsid w:val="00943DCF"/>
    <w:rsid w:val="00944090"/>
    <w:rsid w:val="009472DE"/>
    <w:rsid w:val="009478E7"/>
    <w:rsid w:val="009505DD"/>
    <w:rsid w:val="00951A1A"/>
    <w:rsid w:val="0095434A"/>
    <w:rsid w:val="00954385"/>
    <w:rsid w:val="00954E57"/>
    <w:rsid w:val="009602DD"/>
    <w:rsid w:val="009626E8"/>
    <w:rsid w:val="009649D3"/>
    <w:rsid w:val="00967B26"/>
    <w:rsid w:val="00970B7A"/>
    <w:rsid w:val="0097332F"/>
    <w:rsid w:val="009739D3"/>
    <w:rsid w:val="00975DC8"/>
    <w:rsid w:val="00976E2C"/>
    <w:rsid w:val="00977D27"/>
    <w:rsid w:val="00982274"/>
    <w:rsid w:val="00983BDB"/>
    <w:rsid w:val="00984BC3"/>
    <w:rsid w:val="00985DBB"/>
    <w:rsid w:val="00986D3C"/>
    <w:rsid w:val="00987182"/>
    <w:rsid w:val="00991089"/>
    <w:rsid w:val="0099664F"/>
    <w:rsid w:val="009A031A"/>
    <w:rsid w:val="009A0E9D"/>
    <w:rsid w:val="009A105B"/>
    <w:rsid w:val="009A2645"/>
    <w:rsid w:val="009A28F5"/>
    <w:rsid w:val="009A331D"/>
    <w:rsid w:val="009A51D9"/>
    <w:rsid w:val="009A6076"/>
    <w:rsid w:val="009A61DD"/>
    <w:rsid w:val="009A6867"/>
    <w:rsid w:val="009A7965"/>
    <w:rsid w:val="009B022C"/>
    <w:rsid w:val="009B097D"/>
    <w:rsid w:val="009B44BA"/>
    <w:rsid w:val="009B44BE"/>
    <w:rsid w:val="009B45A1"/>
    <w:rsid w:val="009B475E"/>
    <w:rsid w:val="009B7872"/>
    <w:rsid w:val="009C0E00"/>
    <w:rsid w:val="009C140D"/>
    <w:rsid w:val="009C3CA4"/>
    <w:rsid w:val="009C3D75"/>
    <w:rsid w:val="009C5051"/>
    <w:rsid w:val="009C6123"/>
    <w:rsid w:val="009D039C"/>
    <w:rsid w:val="009D18E9"/>
    <w:rsid w:val="009D2DC1"/>
    <w:rsid w:val="009D35ED"/>
    <w:rsid w:val="009D3CE5"/>
    <w:rsid w:val="009D5389"/>
    <w:rsid w:val="009E42F2"/>
    <w:rsid w:val="009E4861"/>
    <w:rsid w:val="009E7333"/>
    <w:rsid w:val="009F14D4"/>
    <w:rsid w:val="009F23F8"/>
    <w:rsid w:val="009F70DE"/>
    <w:rsid w:val="009F7F4A"/>
    <w:rsid w:val="00A0040C"/>
    <w:rsid w:val="00A02D8A"/>
    <w:rsid w:val="00A02FAB"/>
    <w:rsid w:val="00A03F8A"/>
    <w:rsid w:val="00A0414D"/>
    <w:rsid w:val="00A05BC4"/>
    <w:rsid w:val="00A067D2"/>
    <w:rsid w:val="00A078B7"/>
    <w:rsid w:val="00A07E7D"/>
    <w:rsid w:val="00A10BC7"/>
    <w:rsid w:val="00A10DE1"/>
    <w:rsid w:val="00A11112"/>
    <w:rsid w:val="00A12CB2"/>
    <w:rsid w:val="00A1486B"/>
    <w:rsid w:val="00A20976"/>
    <w:rsid w:val="00A21401"/>
    <w:rsid w:val="00A23D8D"/>
    <w:rsid w:val="00A31168"/>
    <w:rsid w:val="00A32E82"/>
    <w:rsid w:val="00A337A7"/>
    <w:rsid w:val="00A356FD"/>
    <w:rsid w:val="00A36BED"/>
    <w:rsid w:val="00A40226"/>
    <w:rsid w:val="00A406CB"/>
    <w:rsid w:val="00A4141C"/>
    <w:rsid w:val="00A422EC"/>
    <w:rsid w:val="00A432FC"/>
    <w:rsid w:val="00A43B90"/>
    <w:rsid w:val="00A43E9D"/>
    <w:rsid w:val="00A46026"/>
    <w:rsid w:val="00A50767"/>
    <w:rsid w:val="00A50A2E"/>
    <w:rsid w:val="00A52A65"/>
    <w:rsid w:val="00A53D28"/>
    <w:rsid w:val="00A55219"/>
    <w:rsid w:val="00A56285"/>
    <w:rsid w:val="00A622DB"/>
    <w:rsid w:val="00A624B2"/>
    <w:rsid w:val="00A62510"/>
    <w:rsid w:val="00A63479"/>
    <w:rsid w:val="00A64C1A"/>
    <w:rsid w:val="00A651FD"/>
    <w:rsid w:val="00A65E4E"/>
    <w:rsid w:val="00A660A5"/>
    <w:rsid w:val="00A66C36"/>
    <w:rsid w:val="00A7057B"/>
    <w:rsid w:val="00A70CF7"/>
    <w:rsid w:val="00A73E7A"/>
    <w:rsid w:val="00A74317"/>
    <w:rsid w:val="00A772E5"/>
    <w:rsid w:val="00A80A54"/>
    <w:rsid w:val="00A83180"/>
    <w:rsid w:val="00A8438A"/>
    <w:rsid w:val="00A853D3"/>
    <w:rsid w:val="00A86150"/>
    <w:rsid w:val="00A8654A"/>
    <w:rsid w:val="00A86F46"/>
    <w:rsid w:val="00A87149"/>
    <w:rsid w:val="00A87CC1"/>
    <w:rsid w:val="00A90885"/>
    <w:rsid w:val="00A91164"/>
    <w:rsid w:val="00A91A76"/>
    <w:rsid w:val="00A91E2B"/>
    <w:rsid w:val="00A9334F"/>
    <w:rsid w:val="00A934B3"/>
    <w:rsid w:val="00A95096"/>
    <w:rsid w:val="00A95B7B"/>
    <w:rsid w:val="00A95C01"/>
    <w:rsid w:val="00A95F67"/>
    <w:rsid w:val="00A9706B"/>
    <w:rsid w:val="00AA4497"/>
    <w:rsid w:val="00AA45A9"/>
    <w:rsid w:val="00AA46B8"/>
    <w:rsid w:val="00AA57C7"/>
    <w:rsid w:val="00AA59D8"/>
    <w:rsid w:val="00AA6211"/>
    <w:rsid w:val="00AB19CE"/>
    <w:rsid w:val="00AB1E6D"/>
    <w:rsid w:val="00AB2A04"/>
    <w:rsid w:val="00AB4D72"/>
    <w:rsid w:val="00AB69BE"/>
    <w:rsid w:val="00AB6A44"/>
    <w:rsid w:val="00AB74D4"/>
    <w:rsid w:val="00AC02FB"/>
    <w:rsid w:val="00AC1C83"/>
    <w:rsid w:val="00AC212A"/>
    <w:rsid w:val="00AC30EC"/>
    <w:rsid w:val="00AD04C2"/>
    <w:rsid w:val="00AD0D2F"/>
    <w:rsid w:val="00AD6990"/>
    <w:rsid w:val="00AD730B"/>
    <w:rsid w:val="00AD75B6"/>
    <w:rsid w:val="00AD78F3"/>
    <w:rsid w:val="00AE0664"/>
    <w:rsid w:val="00AE078F"/>
    <w:rsid w:val="00AE150C"/>
    <w:rsid w:val="00AE1D69"/>
    <w:rsid w:val="00AE207A"/>
    <w:rsid w:val="00AE2621"/>
    <w:rsid w:val="00AE3AF5"/>
    <w:rsid w:val="00AE495A"/>
    <w:rsid w:val="00AE61E3"/>
    <w:rsid w:val="00AE65AA"/>
    <w:rsid w:val="00AE736E"/>
    <w:rsid w:val="00AF56C3"/>
    <w:rsid w:val="00AF78C5"/>
    <w:rsid w:val="00B00168"/>
    <w:rsid w:val="00B00224"/>
    <w:rsid w:val="00B01ED0"/>
    <w:rsid w:val="00B03234"/>
    <w:rsid w:val="00B07E4F"/>
    <w:rsid w:val="00B11E47"/>
    <w:rsid w:val="00B122BC"/>
    <w:rsid w:val="00B1618D"/>
    <w:rsid w:val="00B210B2"/>
    <w:rsid w:val="00B23A3D"/>
    <w:rsid w:val="00B2452A"/>
    <w:rsid w:val="00B24929"/>
    <w:rsid w:val="00B2786E"/>
    <w:rsid w:val="00B27A5C"/>
    <w:rsid w:val="00B30425"/>
    <w:rsid w:val="00B3258D"/>
    <w:rsid w:val="00B32EF8"/>
    <w:rsid w:val="00B34C4A"/>
    <w:rsid w:val="00B34CCE"/>
    <w:rsid w:val="00B36953"/>
    <w:rsid w:val="00B36C41"/>
    <w:rsid w:val="00B37D68"/>
    <w:rsid w:val="00B40AE7"/>
    <w:rsid w:val="00B411D3"/>
    <w:rsid w:val="00B41A28"/>
    <w:rsid w:val="00B41A8C"/>
    <w:rsid w:val="00B425BA"/>
    <w:rsid w:val="00B42A5E"/>
    <w:rsid w:val="00B42B8D"/>
    <w:rsid w:val="00B42F7A"/>
    <w:rsid w:val="00B441F6"/>
    <w:rsid w:val="00B452BC"/>
    <w:rsid w:val="00B45398"/>
    <w:rsid w:val="00B45D88"/>
    <w:rsid w:val="00B46E8F"/>
    <w:rsid w:val="00B5001F"/>
    <w:rsid w:val="00B517B4"/>
    <w:rsid w:val="00B51C53"/>
    <w:rsid w:val="00B52201"/>
    <w:rsid w:val="00B5464B"/>
    <w:rsid w:val="00B55182"/>
    <w:rsid w:val="00B6207A"/>
    <w:rsid w:val="00B62A04"/>
    <w:rsid w:val="00B645E3"/>
    <w:rsid w:val="00B6468C"/>
    <w:rsid w:val="00B703B4"/>
    <w:rsid w:val="00B70601"/>
    <w:rsid w:val="00B71C3B"/>
    <w:rsid w:val="00B7206B"/>
    <w:rsid w:val="00B7329D"/>
    <w:rsid w:val="00B7335C"/>
    <w:rsid w:val="00B75467"/>
    <w:rsid w:val="00B75990"/>
    <w:rsid w:val="00B75C4E"/>
    <w:rsid w:val="00B761AE"/>
    <w:rsid w:val="00B7632A"/>
    <w:rsid w:val="00B7718E"/>
    <w:rsid w:val="00B80F94"/>
    <w:rsid w:val="00B83048"/>
    <w:rsid w:val="00B83F90"/>
    <w:rsid w:val="00B845CA"/>
    <w:rsid w:val="00B849A1"/>
    <w:rsid w:val="00B852E5"/>
    <w:rsid w:val="00B9256F"/>
    <w:rsid w:val="00B93547"/>
    <w:rsid w:val="00B93CEB"/>
    <w:rsid w:val="00B95E8E"/>
    <w:rsid w:val="00BA0EE3"/>
    <w:rsid w:val="00BA1BF5"/>
    <w:rsid w:val="00BA2F4D"/>
    <w:rsid w:val="00BA3A8D"/>
    <w:rsid w:val="00BA3F09"/>
    <w:rsid w:val="00BA3F1B"/>
    <w:rsid w:val="00BA4324"/>
    <w:rsid w:val="00BA732F"/>
    <w:rsid w:val="00BA7830"/>
    <w:rsid w:val="00BB3D00"/>
    <w:rsid w:val="00BB3F0E"/>
    <w:rsid w:val="00BB5B6C"/>
    <w:rsid w:val="00BB5D09"/>
    <w:rsid w:val="00BB7227"/>
    <w:rsid w:val="00BC0070"/>
    <w:rsid w:val="00BC07AE"/>
    <w:rsid w:val="00BC0B87"/>
    <w:rsid w:val="00BC2AF7"/>
    <w:rsid w:val="00BC2FD9"/>
    <w:rsid w:val="00BC38BE"/>
    <w:rsid w:val="00BC3DAE"/>
    <w:rsid w:val="00BD0BE2"/>
    <w:rsid w:val="00BD18CC"/>
    <w:rsid w:val="00BD1A10"/>
    <w:rsid w:val="00BD397F"/>
    <w:rsid w:val="00BD7187"/>
    <w:rsid w:val="00BD7EA7"/>
    <w:rsid w:val="00BE09C4"/>
    <w:rsid w:val="00BE3BB7"/>
    <w:rsid w:val="00BE5FEB"/>
    <w:rsid w:val="00BF1613"/>
    <w:rsid w:val="00BF39B0"/>
    <w:rsid w:val="00BF6AD8"/>
    <w:rsid w:val="00BF70FE"/>
    <w:rsid w:val="00C011CB"/>
    <w:rsid w:val="00C03F56"/>
    <w:rsid w:val="00C046FA"/>
    <w:rsid w:val="00C07AA3"/>
    <w:rsid w:val="00C07ABD"/>
    <w:rsid w:val="00C07BB2"/>
    <w:rsid w:val="00C07C95"/>
    <w:rsid w:val="00C07E9C"/>
    <w:rsid w:val="00C104F5"/>
    <w:rsid w:val="00C12613"/>
    <w:rsid w:val="00C2247B"/>
    <w:rsid w:val="00C224F2"/>
    <w:rsid w:val="00C24156"/>
    <w:rsid w:val="00C245E4"/>
    <w:rsid w:val="00C24AD9"/>
    <w:rsid w:val="00C26690"/>
    <w:rsid w:val="00C277AD"/>
    <w:rsid w:val="00C314F6"/>
    <w:rsid w:val="00C3236C"/>
    <w:rsid w:val="00C34203"/>
    <w:rsid w:val="00C3442F"/>
    <w:rsid w:val="00C354E6"/>
    <w:rsid w:val="00C36D07"/>
    <w:rsid w:val="00C376C9"/>
    <w:rsid w:val="00C37DCF"/>
    <w:rsid w:val="00C42943"/>
    <w:rsid w:val="00C43519"/>
    <w:rsid w:val="00C43B55"/>
    <w:rsid w:val="00C46643"/>
    <w:rsid w:val="00C47067"/>
    <w:rsid w:val="00C5001E"/>
    <w:rsid w:val="00C53E2E"/>
    <w:rsid w:val="00C54A47"/>
    <w:rsid w:val="00C54E37"/>
    <w:rsid w:val="00C550E9"/>
    <w:rsid w:val="00C62605"/>
    <w:rsid w:val="00C62F35"/>
    <w:rsid w:val="00C64338"/>
    <w:rsid w:val="00C721C6"/>
    <w:rsid w:val="00C7315E"/>
    <w:rsid w:val="00C807B1"/>
    <w:rsid w:val="00C8154D"/>
    <w:rsid w:val="00C85015"/>
    <w:rsid w:val="00C86243"/>
    <w:rsid w:val="00C87978"/>
    <w:rsid w:val="00C94C90"/>
    <w:rsid w:val="00C95268"/>
    <w:rsid w:val="00C957B8"/>
    <w:rsid w:val="00C95C26"/>
    <w:rsid w:val="00CA5A16"/>
    <w:rsid w:val="00CA62CD"/>
    <w:rsid w:val="00CB0E6C"/>
    <w:rsid w:val="00CB1723"/>
    <w:rsid w:val="00CB1BB4"/>
    <w:rsid w:val="00CB1CA8"/>
    <w:rsid w:val="00CB2812"/>
    <w:rsid w:val="00CB5831"/>
    <w:rsid w:val="00CB7351"/>
    <w:rsid w:val="00CC1787"/>
    <w:rsid w:val="00CC27CB"/>
    <w:rsid w:val="00CC3C25"/>
    <w:rsid w:val="00CC77F4"/>
    <w:rsid w:val="00CD38F8"/>
    <w:rsid w:val="00CD393A"/>
    <w:rsid w:val="00CD4A0A"/>
    <w:rsid w:val="00CE086B"/>
    <w:rsid w:val="00CE151B"/>
    <w:rsid w:val="00CE162A"/>
    <w:rsid w:val="00CE3A1E"/>
    <w:rsid w:val="00CE4ACA"/>
    <w:rsid w:val="00CE55E4"/>
    <w:rsid w:val="00CE5FB0"/>
    <w:rsid w:val="00CE7510"/>
    <w:rsid w:val="00CF2583"/>
    <w:rsid w:val="00CF2C25"/>
    <w:rsid w:val="00CF4360"/>
    <w:rsid w:val="00D00C7C"/>
    <w:rsid w:val="00D02BA9"/>
    <w:rsid w:val="00D03F25"/>
    <w:rsid w:val="00D079A5"/>
    <w:rsid w:val="00D10DBF"/>
    <w:rsid w:val="00D121A1"/>
    <w:rsid w:val="00D12D44"/>
    <w:rsid w:val="00D1315B"/>
    <w:rsid w:val="00D13272"/>
    <w:rsid w:val="00D138DE"/>
    <w:rsid w:val="00D13FB3"/>
    <w:rsid w:val="00D15C1F"/>
    <w:rsid w:val="00D21897"/>
    <w:rsid w:val="00D227F2"/>
    <w:rsid w:val="00D22A54"/>
    <w:rsid w:val="00D23D57"/>
    <w:rsid w:val="00D257F2"/>
    <w:rsid w:val="00D30013"/>
    <w:rsid w:val="00D324FB"/>
    <w:rsid w:val="00D3368A"/>
    <w:rsid w:val="00D34D5A"/>
    <w:rsid w:val="00D35379"/>
    <w:rsid w:val="00D37308"/>
    <w:rsid w:val="00D4067F"/>
    <w:rsid w:val="00D42E34"/>
    <w:rsid w:val="00D4698E"/>
    <w:rsid w:val="00D47133"/>
    <w:rsid w:val="00D472A0"/>
    <w:rsid w:val="00D47757"/>
    <w:rsid w:val="00D47AB0"/>
    <w:rsid w:val="00D5089A"/>
    <w:rsid w:val="00D51049"/>
    <w:rsid w:val="00D52EDD"/>
    <w:rsid w:val="00D55676"/>
    <w:rsid w:val="00D55B41"/>
    <w:rsid w:val="00D55E17"/>
    <w:rsid w:val="00D56188"/>
    <w:rsid w:val="00D57736"/>
    <w:rsid w:val="00D6195B"/>
    <w:rsid w:val="00D66E60"/>
    <w:rsid w:val="00D70922"/>
    <w:rsid w:val="00D730EC"/>
    <w:rsid w:val="00D76083"/>
    <w:rsid w:val="00D81340"/>
    <w:rsid w:val="00D81852"/>
    <w:rsid w:val="00D84550"/>
    <w:rsid w:val="00D85972"/>
    <w:rsid w:val="00D871AB"/>
    <w:rsid w:val="00D95303"/>
    <w:rsid w:val="00D96302"/>
    <w:rsid w:val="00D967B8"/>
    <w:rsid w:val="00D96CC7"/>
    <w:rsid w:val="00D96DC2"/>
    <w:rsid w:val="00D97A0B"/>
    <w:rsid w:val="00DA0D34"/>
    <w:rsid w:val="00DA1F2F"/>
    <w:rsid w:val="00DA237F"/>
    <w:rsid w:val="00DA2D8A"/>
    <w:rsid w:val="00DA5F0E"/>
    <w:rsid w:val="00DA68A9"/>
    <w:rsid w:val="00DB01CE"/>
    <w:rsid w:val="00DB03B5"/>
    <w:rsid w:val="00DB0763"/>
    <w:rsid w:val="00DB1E84"/>
    <w:rsid w:val="00DB3EEA"/>
    <w:rsid w:val="00DB5075"/>
    <w:rsid w:val="00DB5115"/>
    <w:rsid w:val="00DB7098"/>
    <w:rsid w:val="00DC20AC"/>
    <w:rsid w:val="00DC2D5D"/>
    <w:rsid w:val="00DC323E"/>
    <w:rsid w:val="00DC748A"/>
    <w:rsid w:val="00DD0BED"/>
    <w:rsid w:val="00DD1574"/>
    <w:rsid w:val="00DD2935"/>
    <w:rsid w:val="00DD297E"/>
    <w:rsid w:val="00DD31FD"/>
    <w:rsid w:val="00DD5407"/>
    <w:rsid w:val="00DD54AA"/>
    <w:rsid w:val="00DD7907"/>
    <w:rsid w:val="00DE0906"/>
    <w:rsid w:val="00DE1F83"/>
    <w:rsid w:val="00DE3B36"/>
    <w:rsid w:val="00DE3B51"/>
    <w:rsid w:val="00DF21FC"/>
    <w:rsid w:val="00DF2CF9"/>
    <w:rsid w:val="00DF56EB"/>
    <w:rsid w:val="00DF5C25"/>
    <w:rsid w:val="00DF61F1"/>
    <w:rsid w:val="00E02CD1"/>
    <w:rsid w:val="00E04759"/>
    <w:rsid w:val="00E053C0"/>
    <w:rsid w:val="00E0713C"/>
    <w:rsid w:val="00E07BA5"/>
    <w:rsid w:val="00E11FED"/>
    <w:rsid w:val="00E12120"/>
    <w:rsid w:val="00E1275D"/>
    <w:rsid w:val="00E13F36"/>
    <w:rsid w:val="00E15816"/>
    <w:rsid w:val="00E20938"/>
    <w:rsid w:val="00E21613"/>
    <w:rsid w:val="00E2262F"/>
    <w:rsid w:val="00E22647"/>
    <w:rsid w:val="00E24E49"/>
    <w:rsid w:val="00E25DFE"/>
    <w:rsid w:val="00E30D64"/>
    <w:rsid w:val="00E31D1A"/>
    <w:rsid w:val="00E3392F"/>
    <w:rsid w:val="00E33F33"/>
    <w:rsid w:val="00E344F5"/>
    <w:rsid w:val="00E3458A"/>
    <w:rsid w:val="00E352EA"/>
    <w:rsid w:val="00E370ED"/>
    <w:rsid w:val="00E41954"/>
    <w:rsid w:val="00E466F2"/>
    <w:rsid w:val="00E47CFF"/>
    <w:rsid w:val="00E47FB2"/>
    <w:rsid w:val="00E5398F"/>
    <w:rsid w:val="00E53F1A"/>
    <w:rsid w:val="00E56026"/>
    <w:rsid w:val="00E56ED4"/>
    <w:rsid w:val="00E6015C"/>
    <w:rsid w:val="00E61C1A"/>
    <w:rsid w:val="00E6243C"/>
    <w:rsid w:val="00E63085"/>
    <w:rsid w:val="00E63124"/>
    <w:rsid w:val="00E6440A"/>
    <w:rsid w:val="00E6443E"/>
    <w:rsid w:val="00E656A8"/>
    <w:rsid w:val="00E67973"/>
    <w:rsid w:val="00E733D0"/>
    <w:rsid w:val="00E7493A"/>
    <w:rsid w:val="00E75231"/>
    <w:rsid w:val="00E75828"/>
    <w:rsid w:val="00E759AA"/>
    <w:rsid w:val="00E7615F"/>
    <w:rsid w:val="00E76711"/>
    <w:rsid w:val="00E7794A"/>
    <w:rsid w:val="00E77C2F"/>
    <w:rsid w:val="00E80474"/>
    <w:rsid w:val="00E80D71"/>
    <w:rsid w:val="00E8123B"/>
    <w:rsid w:val="00E81908"/>
    <w:rsid w:val="00E81B73"/>
    <w:rsid w:val="00E82D52"/>
    <w:rsid w:val="00E848D4"/>
    <w:rsid w:val="00E8552E"/>
    <w:rsid w:val="00E86AB4"/>
    <w:rsid w:val="00E874D8"/>
    <w:rsid w:val="00E87DBF"/>
    <w:rsid w:val="00E92455"/>
    <w:rsid w:val="00E94A39"/>
    <w:rsid w:val="00E965F5"/>
    <w:rsid w:val="00E968EF"/>
    <w:rsid w:val="00EA01FE"/>
    <w:rsid w:val="00EA03BD"/>
    <w:rsid w:val="00EA37F2"/>
    <w:rsid w:val="00EA3AFB"/>
    <w:rsid w:val="00EA6C20"/>
    <w:rsid w:val="00EA6E66"/>
    <w:rsid w:val="00EA6EE5"/>
    <w:rsid w:val="00EA70F1"/>
    <w:rsid w:val="00EA756E"/>
    <w:rsid w:val="00EB01D4"/>
    <w:rsid w:val="00EB115C"/>
    <w:rsid w:val="00EB38A6"/>
    <w:rsid w:val="00EB3F85"/>
    <w:rsid w:val="00EB4351"/>
    <w:rsid w:val="00EB4FD2"/>
    <w:rsid w:val="00EB79AA"/>
    <w:rsid w:val="00EC076B"/>
    <w:rsid w:val="00EC1348"/>
    <w:rsid w:val="00EC163A"/>
    <w:rsid w:val="00EC3079"/>
    <w:rsid w:val="00EC318F"/>
    <w:rsid w:val="00ED0ED5"/>
    <w:rsid w:val="00ED1B3B"/>
    <w:rsid w:val="00ED3BF0"/>
    <w:rsid w:val="00ED47BB"/>
    <w:rsid w:val="00ED49C5"/>
    <w:rsid w:val="00ED50CF"/>
    <w:rsid w:val="00ED58C1"/>
    <w:rsid w:val="00ED60F4"/>
    <w:rsid w:val="00ED68EF"/>
    <w:rsid w:val="00ED7A7E"/>
    <w:rsid w:val="00EE335A"/>
    <w:rsid w:val="00EE3ACA"/>
    <w:rsid w:val="00EE3C7B"/>
    <w:rsid w:val="00EE4E5F"/>
    <w:rsid w:val="00EE56C7"/>
    <w:rsid w:val="00EE7E4D"/>
    <w:rsid w:val="00EF10A2"/>
    <w:rsid w:val="00EF18A7"/>
    <w:rsid w:val="00EF382F"/>
    <w:rsid w:val="00EF4679"/>
    <w:rsid w:val="00EF4C8B"/>
    <w:rsid w:val="00F0001B"/>
    <w:rsid w:val="00F028E5"/>
    <w:rsid w:val="00F02F42"/>
    <w:rsid w:val="00F04F8F"/>
    <w:rsid w:val="00F05902"/>
    <w:rsid w:val="00F10C02"/>
    <w:rsid w:val="00F10D28"/>
    <w:rsid w:val="00F12667"/>
    <w:rsid w:val="00F1714C"/>
    <w:rsid w:val="00F17F7D"/>
    <w:rsid w:val="00F2069F"/>
    <w:rsid w:val="00F2280C"/>
    <w:rsid w:val="00F306C1"/>
    <w:rsid w:val="00F30810"/>
    <w:rsid w:val="00F30BF2"/>
    <w:rsid w:val="00F3107C"/>
    <w:rsid w:val="00F3259D"/>
    <w:rsid w:val="00F362AA"/>
    <w:rsid w:val="00F37A4F"/>
    <w:rsid w:val="00F40486"/>
    <w:rsid w:val="00F4061D"/>
    <w:rsid w:val="00F4155C"/>
    <w:rsid w:val="00F41E25"/>
    <w:rsid w:val="00F42508"/>
    <w:rsid w:val="00F44F03"/>
    <w:rsid w:val="00F45566"/>
    <w:rsid w:val="00F548CD"/>
    <w:rsid w:val="00F5531B"/>
    <w:rsid w:val="00F56711"/>
    <w:rsid w:val="00F60B36"/>
    <w:rsid w:val="00F621FE"/>
    <w:rsid w:val="00F651C3"/>
    <w:rsid w:val="00F65AFB"/>
    <w:rsid w:val="00F66042"/>
    <w:rsid w:val="00F679D7"/>
    <w:rsid w:val="00F70721"/>
    <w:rsid w:val="00F73477"/>
    <w:rsid w:val="00F767A4"/>
    <w:rsid w:val="00F81359"/>
    <w:rsid w:val="00F81E27"/>
    <w:rsid w:val="00F823C0"/>
    <w:rsid w:val="00F82684"/>
    <w:rsid w:val="00F833AB"/>
    <w:rsid w:val="00F83723"/>
    <w:rsid w:val="00F84A41"/>
    <w:rsid w:val="00F84A84"/>
    <w:rsid w:val="00F905F7"/>
    <w:rsid w:val="00F9147A"/>
    <w:rsid w:val="00F922EF"/>
    <w:rsid w:val="00F9346C"/>
    <w:rsid w:val="00F937AA"/>
    <w:rsid w:val="00F93EAA"/>
    <w:rsid w:val="00F95572"/>
    <w:rsid w:val="00FA03B6"/>
    <w:rsid w:val="00FA22FF"/>
    <w:rsid w:val="00FA26AE"/>
    <w:rsid w:val="00FA2800"/>
    <w:rsid w:val="00FA3B6C"/>
    <w:rsid w:val="00FA7672"/>
    <w:rsid w:val="00FB3600"/>
    <w:rsid w:val="00FB6497"/>
    <w:rsid w:val="00FC0119"/>
    <w:rsid w:val="00FC06E3"/>
    <w:rsid w:val="00FC1261"/>
    <w:rsid w:val="00FC2495"/>
    <w:rsid w:val="00FC4398"/>
    <w:rsid w:val="00FC598E"/>
    <w:rsid w:val="00FC5AA5"/>
    <w:rsid w:val="00FC67AD"/>
    <w:rsid w:val="00FC7B38"/>
    <w:rsid w:val="00FD0F17"/>
    <w:rsid w:val="00FD395A"/>
    <w:rsid w:val="00FD3BA6"/>
    <w:rsid w:val="00FD3CED"/>
    <w:rsid w:val="00FD3E48"/>
    <w:rsid w:val="00FD5DEF"/>
    <w:rsid w:val="00FD67CC"/>
    <w:rsid w:val="00FD6BF7"/>
    <w:rsid w:val="00FD721F"/>
    <w:rsid w:val="00FE2E66"/>
    <w:rsid w:val="00FE455A"/>
    <w:rsid w:val="00FE7A77"/>
    <w:rsid w:val="00FF01B3"/>
    <w:rsid w:val="00FF128D"/>
    <w:rsid w:val="00FF24AD"/>
    <w:rsid w:val="00FF2CAB"/>
    <w:rsid w:val="00FF349B"/>
    <w:rsid w:val="00FF386E"/>
    <w:rsid w:val="00FF3D14"/>
    <w:rsid w:val="00FF447F"/>
    <w:rsid w:val="00FF4DBD"/>
    <w:rsid w:val="00FF57BA"/>
    <w:rsid w:val="00FF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BA"/>
    <w:rPr>
      <w:sz w:val="24"/>
      <w:szCs w:val="24"/>
    </w:rPr>
  </w:style>
  <w:style w:type="paragraph" w:styleId="Heading1">
    <w:name w:val="heading 1"/>
    <w:basedOn w:val="Normal"/>
    <w:next w:val="Normal"/>
    <w:link w:val="Heading1Char"/>
    <w:qFormat/>
    <w:rsid w:val="00DB0763"/>
    <w:pPr>
      <w:numPr>
        <w:numId w:val="1"/>
      </w:numPr>
      <w:spacing w:before="240" w:after="60"/>
      <w:outlineLvl w:val="0"/>
    </w:pPr>
    <w:rPr>
      <w:b/>
      <w:bCs/>
      <w:caps/>
      <w:kern w:val="32"/>
      <w:sz w:val="28"/>
      <w:szCs w:val="28"/>
    </w:rPr>
  </w:style>
  <w:style w:type="paragraph" w:styleId="Heading2">
    <w:name w:val="heading 2"/>
    <w:basedOn w:val="Normal"/>
    <w:next w:val="Normal"/>
    <w:link w:val="Heading2Char"/>
    <w:autoRedefine/>
    <w:qFormat/>
    <w:rsid w:val="00B34C4A"/>
    <w:pPr>
      <w:keepNext/>
      <w:numPr>
        <w:ilvl w:val="1"/>
        <w:numId w:val="1"/>
      </w:numPr>
      <w:spacing w:before="240" w:after="60"/>
      <w:outlineLvl w:val="1"/>
    </w:pPr>
    <w:rPr>
      <w:b/>
      <w:bCs/>
      <w:szCs w:val="28"/>
    </w:rPr>
  </w:style>
  <w:style w:type="paragraph" w:styleId="Heading3">
    <w:name w:val="heading 3"/>
    <w:basedOn w:val="Normal"/>
    <w:next w:val="Normal"/>
    <w:link w:val="Heading3Char"/>
    <w:qFormat/>
    <w:rsid w:val="008602BA"/>
    <w:pPr>
      <w:keepNext/>
      <w:numPr>
        <w:ilvl w:val="2"/>
        <w:numId w:val="1"/>
      </w:numPr>
      <w:spacing w:before="240" w:after="60"/>
      <w:outlineLvl w:val="2"/>
    </w:pPr>
    <w:rPr>
      <w:b/>
      <w:bCs/>
      <w:szCs w:val="26"/>
    </w:rPr>
  </w:style>
  <w:style w:type="paragraph" w:styleId="Heading4">
    <w:name w:val="heading 4"/>
    <w:basedOn w:val="Normal"/>
    <w:next w:val="Normal"/>
    <w:link w:val="Heading4Char"/>
    <w:qFormat/>
    <w:rsid w:val="008602BA"/>
    <w:pPr>
      <w:keepNext/>
      <w:numPr>
        <w:ilvl w:val="3"/>
        <w:numId w:val="1"/>
      </w:numPr>
      <w:spacing w:before="240" w:after="60"/>
      <w:outlineLvl w:val="3"/>
    </w:pPr>
    <w:rPr>
      <w:bCs/>
      <w:szCs w:val="28"/>
    </w:rPr>
  </w:style>
  <w:style w:type="paragraph" w:styleId="Heading5">
    <w:name w:val="heading 5"/>
    <w:basedOn w:val="Normal"/>
    <w:next w:val="Normal"/>
    <w:link w:val="Heading5Char"/>
    <w:qFormat/>
    <w:rsid w:val="008602BA"/>
    <w:pPr>
      <w:numPr>
        <w:ilvl w:val="4"/>
        <w:numId w:val="1"/>
      </w:numPr>
      <w:spacing w:before="240" w:after="60"/>
      <w:outlineLvl w:val="4"/>
    </w:pPr>
    <w:rPr>
      <w:bCs/>
      <w:i/>
      <w:iCs/>
      <w:szCs w:val="26"/>
    </w:rPr>
  </w:style>
  <w:style w:type="paragraph" w:styleId="Heading6">
    <w:name w:val="heading 6"/>
    <w:basedOn w:val="Normal"/>
    <w:next w:val="Normal"/>
    <w:link w:val="Heading6Char"/>
    <w:qFormat/>
    <w:rsid w:val="008602BA"/>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8602BA"/>
    <w:pPr>
      <w:numPr>
        <w:ilvl w:val="6"/>
        <w:numId w:val="2"/>
      </w:numPr>
      <w:spacing w:before="240" w:after="60"/>
      <w:outlineLvl w:val="6"/>
    </w:pPr>
  </w:style>
  <w:style w:type="paragraph" w:styleId="Heading8">
    <w:name w:val="heading 8"/>
    <w:basedOn w:val="Normal"/>
    <w:next w:val="Normal"/>
    <w:link w:val="Heading8Char"/>
    <w:qFormat/>
    <w:rsid w:val="008602BA"/>
    <w:pPr>
      <w:numPr>
        <w:ilvl w:val="7"/>
        <w:numId w:val="2"/>
      </w:numPr>
      <w:spacing w:before="240" w:after="60"/>
      <w:outlineLvl w:val="7"/>
    </w:pPr>
    <w:rPr>
      <w:i/>
      <w:iCs/>
    </w:rPr>
  </w:style>
  <w:style w:type="paragraph" w:styleId="Heading9">
    <w:name w:val="heading 9"/>
    <w:basedOn w:val="Normal"/>
    <w:next w:val="Normal"/>
    <w:link w:val="Heading9Char"/>
    <w:qFormat/>
    <w:rsid w:val="008602BA"/>
    <w:pPr>
      <w:numPr>
        <w:ilvl w:val="8"/>
        <w:numId w:val="2"/>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63"/>
    <w:rPr>
      <w:b/>
      <w:bCs/>
      <w:caps/>
      <w:kern w:val="32"/>
      <w:sz w:val="28"/>
      <w:szCs w:val="28"/>
    </w:rPr>
  </w:style>
  <w:style w:type="character" w:customStyle="1" w:styleId="Heading2Char">
    <w:name w:val="Heading 2 Char"/>
    <w:basedOn w:val="DefaultParagraphFont"/>
    <w:link w:val="Heading2"/>
    <w:rsid w:val="00B34C4A"/>
    <w:rPr>
      <w:b/>
      <w:bCs/>
      <w:sz w:val="24"/>
      <w:szCs w:val="28"/>
    </w:rPr>
  </w:style>
  <w:style w:type="character" w:customStyle="1" w:styleId="Heading3Char">
    <w:name w:val="Heading 3 Char"/>
    <w:basedOn w:val="DefaultParagraphFont"/>
    <w:link w:val="Heading3"/>
    <w:rsid w:val="008602BA"/>
    <w:rPr>
      <w:b/>
      <w:bCs/>
      <w:sz w:val="24"/>
      <w:szCs w:val="26"/>
    </w:rPr>
  </w:style>
  <w:style w:type="character" w:customStyle="1" w:styleId="Heading4Char">
    <w:name w:val="Heading 4 Char"/>
    <w:basedOn w:val="DefaultParagraphFont"/>
    <w:link w:val="Heading4"/>
    <w:rsid w:val="008602BA"/>
    <w:rPr>
      <w:bCs/>
      <w:sz w:val="24"/>
      <w:szCs w:val="28"/>
    </w:rPr>
  </w:style>
  <w:style w:type="character" w:customStyle="1" w:styleId="Heading5Char">
    <w:name w:val="Heading 5 Char"/>
    <w:basedOn w:val="DefaultParagraphFont"/>
    <w:link w:val="Heading5"/>
    <w:rsid w:val="008602BA"/>
    <w:rPr>
      <w:bCs/>
      <w:i/>
      <w:iCs/>
      <w:sz w:val="24"/>
      <w:szCs w:val="26"/>
    </w:rPr>
  </w:style>
  <w:style w:type="character" w:customStyle="1" w:styleId="Heading6Char">
    <w:name w:val="Heading 6 Char"/>
    <w:basedOn w:val="DefaultParagraphFont"/>
    <w:link w:val="Heading6"/>
    <w:rsid w:val="008602BA"/>
    <w:rPr>
      <w:b/>
      <w:bCs/>
      <w:sz w:val="22"/>
      <w:szCs w:val="22"/>
    </w:rPr>
  </w:style>
  <w:style w:type="character" w:customStyle="1" w:styleId="Heading7Char">
    <w:name w:val="Heading 7 Char"/>
    <w:basedOn w:val="DefaultParagraphFont"/>
    <w:link w:val="Heading7"/>
    <w:rsid w:val="008602BA"/>
    <w:rPr>
      <w:sz w:val="24"/>
      <w:szCs w:val="24"/>
    </w:rPr>
  </w:style>
  <w:style w:type="character" w:customStyle="1" w:styleId="Heading8Char">
    <w:name w:val="Heading 8 Char"/>
    <w:basedOn w:val="DefaultParagraphFont"/>
    <w:link w:val="Heading8"/>
    <w:rsid w:val="008602BA"/>
    <w:rPr>
      <w:i/>
      <w:iCs/>
      <w:sz w:val="24"/>
      <w:szCs w:val="24"/>
    </w:rPr>
  </w:style>
  <w:style w:type="character" w:customStyle="1" w:styleId="Heading9Char">
    <w:name w:val="Heading 9 Char"/>
    <w:basedOn w:val="DefaultParagraphFont"/>
    <w:link w:val="Heading9"/>
    <w:rsid w:val="008602BA"/>
    <w:rPr>
      <w:rFonts w:ascii="Arial" w:hAnsi="Arial"/>
      <w:sz w:val="22"/>
      <w:szCs w:val="22"/>
    </w:rPr>
  </w:style>
  <w:style w:type="character" w:styleId="Emphasis">
    <w:name w:val="Emphasis"/>
    <w:basedOn w:val="DefaultParagraphFont"/>
    <w:qFormat/>
    <w:rsid w:val="008602BA"/>
    <w:rPr>
      <w:i/>
      <w:iCs/>
    </w:rPr>
  </w:style>
  <w:style w:type="paragraph" w:styleId="FootnoteText">
    <w:name w:val="footnote text"/>
    <w:basedOn w:val="Normal"/>
    <w:link w:val="FootnoteTextChar"/>
    <w:uiPriority w:val="99"/>
    <w:unhideWhenUsed/>
    <w:rsid w:val="00AE65AA"/>
    <w:rPr>
      <w:sz w:val="20"/>
      <w:szCs w:val="20"/>
    </w:rPr>
  </w:style>
  <w:style w:type="character" w:customStyle="1" w:styleId="FootnoteTextChar">
    <w:name w:val="Footnote Text Char"/>
    <w:basedOn w:val="DefaultParagraphFont"/>
    <w:link w:val="FootnoteText"/>
    <w:uiPriority w:val="99"/>
    <w:rsid w:val="00AE65AA"/>
  </w:style>
  <w:style w:type="character" w:styleId="FootnoteReference">
    <w:name w:val="footnote reference"/>
    <w:basedOn w:val="DefaultParagraphFont"/>
    <w:uiPriority w:val="99"/>
    <w:unhideWhenUsed/>
    <w:rsid w:val="00AE65AA"/>
    <w:rPr>
      <w:vertAlign w:val="superscript"/>
    </w:rPr>
  </w:style>
  <w:style w:type="paragraph" w:styleId="BalloonText">
    <w:name w:val="Balloon Text"/>
    <w:basedOn w:val="Normal"/>
    <w:link w:val="BalloonTextChar"/>
    <w:uiPriority w:val="99"/>
    <w:semiHidden/>
    <w:unhideWhenUsed/>
    <w:rsid w:val="00D37308"/>
    <w:rPr>
      <w:rFonts w:ascii="Tahoma" w:hAnsi="Tahoma" w:cs="Tahoma"/>
      <w:sz w:val="16"/>
      <w:szCs w:val="16"/>
    </w:rPr>
  </w:style>
  <w:style w:type="character" w:customStyle="1" w:styleId="BalloonTextChar">
    <w:name w:val="Balloon Text Char"/>
    <w:basedOn w:val="DefaultParagraphFont"/>
    <w:link w:val="BalloonText"/>
    <w:uiPriority w:val="99"/>
    <w:semiHidden/>
    <w:rsid w:val="00D37308"/>
    <w:rPr>
      <w:rFonts w:ascii="Tahoma" w:hAnsi="Tahoma" w:cs="Tahoma"/>
      <w:sz w:val="16"/>
      <w:szCs w:val="16"/>
    </w:rPr>
  </w:style>
  <w:style w:type="paragraph" w:customStyle="1" w:styleId="p1">
    <w:name w:val="p1"/>
    <w:basedOn w:val="Normal"/>
    <w:rsid w:val="007C2073"/>
    <w:pPr>
      <w:spacing w:before="100" w:beforeAutospacing="1" w:after="100" w:afterAutospacing="1"/>
    </w:pPr>
  </w:style>
  <w:style w:type="character" w:styleId="Strong">
    <w:name w:val="Strong"/>
    <w:basedOn w:val="DefaultParagraphFont"/>
    <w:uiPriority w:val="22"/>
    <w:qFormat/>
    <w:rsid w:val="007C2073"/>
    <w:rPr>
      <w:b/>
      <w:bCs/>
    </w:rPr>
  </w:style>
  <w:style w:type="paragraph" w:styleId="Header">
    <w:name w:val="header"/>
    <w:basedOn w:val="Normal"/>
    <w:link w:val="HeaderChar"/>
    <w:uiPriority w:val="99"/>
    <w:unhideWhenUsed/>
    <w:rsid w:val="00DB03B5"/>
    <w:pPr>
      <w:tabs>
        <w:tab w:val="center" w:pos="4680"/>
        <w:tab w:val="right" w:pos="9360"/>
      </w:tabs>
    </w:pPr>
  </w:style>
  <w:style w:type="character" w:customStyle="1" w:styleId="HeaderChar">
    <w:name w:val="Header Char"/>
    <w:basedOn w:val="DefaultParagraphFont"/>
    <w:link w:val="Header"/>
    <w:uiPriority w:val="99"/>
    <w:rsid w:val="00DB03B5"/>
    <w:rPr>
      <w:sz w:val="24"/>
      <w:szCs w:val="24"/>
    </w:rPr>
  </w:style>
  <w:style w:type="paragraph" w:styleId="Footer">
    <w:name w:val="footer"/>
    <w:basedOn w:val="Normal"/>
    <w:link w:val="FooterChar"/>
    <w:uiPriority w:val="99"/>
    <w:unhideWhenUsed/>
    <w:rsid w:val="00DB03B5"/>
    <w:pPr>
      <w:tabs>
        <w:tab w:val="center" w:pos="4680"/>
        <w:tab w:val="right" w:pos="9360"/>
      </w:tabs>
    </w:pPr>
  </w:style>
  <w:style w:type="character" w:customStyle="1" w:styleId="FooterChar">
    <w:name w:val="Footer Char"/>
    <w:basedOn w:val="DefaultParagraphFont"/>
    <w:link w:val="Footer"/>
    <w:uiPriority w:val="99"/>
    <w:rsid w:val="00DB03B5"/>
    <w:rPr>
      <w:sz w:val="24"/>
      <w:szCs w:val="24"/>
    </w:rPr>
  </w:style>
  <w:style w:type="character" w:styleId="Hyperlink">
    <w:name w:val="Hyperlink"/>
    <w:basedOn w:val="DefaultParagraphFont"/>
    <w:uiPriority w:val="99"/>
    <w:unhideWhenUsed/>
    <w:rsid w:val="00622C70"/>
    <w:rPr>
      <w:color w:val="0000FF" w:themeColor="hyperlink"/>
      <w:u w:val="single"/>
    </w:rPr>
  </w:style>
  <w:style w:type="paragraph" w:customStyle="1" w:styleId="Default">
    <w:name w:val="Default"/>
    <w:rsid w:val="00454A34"/>
    <w:pPr>
      <w:autoSpaceDE w:val="0"/>
      <w:autoSpaceDN w:val="0"/>
      <w:adjustRightInd w:val="0"/>
    </w:pPr>
    <w:rPr>
      <w:color w:val="000000"/>
      <w:sz w:val="24"/>
      <w:szCs w:val="24"/>
    </w:rPr>
  </w:style>
  <w:style w:type="paragraph" w:styleId="TOC1">
    <w:name w:val="toc 1"/>
    <w:basedOn w:val="Normal"/>
    <w:next w:val="Normal"/>
    <w:autoRedefine/>
    <w:uiPriority w:val="39"/>
    <w:unhideWhenUsed/>
    <w:rsid w:val="00392F8B"/>
    <w:pPr>
      <w:spacing w:after="100"/>
    </w:pPr>
  </w:style>
  <w:style w:type="paragraph" w:styleId="TOC2">
    <w:name w:val="toc 2"/>
    <w:basedOn w:val="Normal"/>
    <w:next w:val="Normal"/>
    <w:autoRedefine/>
    <w:uiPriority w:val="39"/>
    <w:unhideWhenUsed/>
    <w:rsid w:val="00392F8B"/>
    <w:pPr>
      <w:spacing w:after="100"/>
      <w:ind w:left="240"/>
    </w:pPr>
  </w:style>
  <w:style w:type="paragraph" w:styleId="TOC3">
    <w:name w:val="toc 3"/>
    <w:basedOn w:val="Normal"/>
    <w:next w:val="Normal"/>
    <w:autoRedefine/>
    <w:uiPriority w:val="39"/>
    <w:unhideWhenUsed/>
    <w:rsid w:val="00392F8B"/>
    <w:pPr>
      <w:spacing w:after="100"/>
      <w:ind w:left="480"/>
    </w:pPr>
  </w:style>
  <w:style w:type="paragraph" w:styleId="TOC4">
    <w:name w:val="toc 4"/>
    <w:basedOn w:val="Normal"/>
    <w:next w:val="Normal"/>
    <w:autoRedefine/>
    <w:uiPriority w:val="39"/>
    <w:unhideWhenUsed/>
    <w:rsid w:val="00392F8B"/>
    <w:pPr>
      <w:spacing w:after="100"/>
      <w:ind w:left="720"/>
    </w:pPr>
  </w:style>
  <w:style w:type="paragraph" w:styleId="ListParagraph">
    <w:name w:val="List Paragraph"/>
    <w:basedOn w:val="Normal"/>
    <w:uiPriority w:val="34"/>
    <w:qFormat/>
    <w:rsid w:val="00392F8B"/>
    <w:pPr>
      <w:ind w:left="720"/>
      <w:contextualSpacing/>
    </w:pPr>
  </w:style>
  <w:style w:type="character" w:customStyle="1" w:styleId="docheadspacer">
    <w:name w:val="docheadspacer"/>
    <w:basedOn w:val="DefaultParagraphFont"/>
    <w:rsid w:val="00392F8B"/>
  </w:style>
  <w:style w:type="character" w:customStyle="1" w:styleId="smallcap">
    <w:name w:val="smallcap"/>
    <w:basedOn w:val="DefaultParagraphFont"/>
    <w:rsid w:val="00392F8B"/>
  </w:style>
  <w:style w:type="paragraph" w:customStyle="1" w:styleId="hp">
    <w:name w:val="hp"/>
    <w:basedOn w:val="Normal"/>
    <w:rsid w:val="00392F8B"/>
    <w:pPr>
      <w:spacing w:before="100" w:beforeAutospacing="1" w:after="100" w:afterAutospacing="1"/>
    </w:pPr>
  </w:style>
  <w:style w:type="character" w:customStyle="1" w:styleId="emphi">
    <w:name w:val="emphi"/>
    <w:basedOn w:val="DefaultParagraphFont"/>
    <w:rsid w:val="00392F8B"/>
  </w:style>
  <w:style w:type="character" w:customStyle="1" w:styleId="emphb">
    <w:name w:val="emphb"/>
    <w:basedOn w:val="DefaultParagraphFont"/>
    <w:rsid w:val="00392F8B"/>
  </w:style>
  <w:style w:type="character" w:customStyle="1" w:styleId="bold">
    <w:name w:val="bold"/>
    <w:basedOn w:val="DefaultParagraphFont"/>
    <w:rsid w:val="00557BE1"/>
  </w:style>
  <w:style w:type="character" w:customStyle="1" w:styleId="date-display-single">
    <w:name w:val="date-display-single"/>
    <w:basedOn w:val="DefaultParagraphFont"/>
    <w:rsid w:val="003467FF"/>
  </w:style>
  <w:style w:type="paragraph" w:styleId="NormalWeb">
    <w:name w:val="Normal (Web)"/>
    <w:basedOn w:val="Normal"/>
    <w:uiPriority w:val="99"/>
    <w:semiHidden/>
    <w:unhideWhenUsed/>
    <w:rsid w:val="003467FF"/>
    <w:pPr>
      <w:spacing w:before="100" w:beforeAutospacing="1" w:after="100" w:afterAutospacing="1"/>
    </w:pPr>
  </w:style>
  <w:style w:type="character" w:customStyle="1" w:styleId="num">
    <w:name w:val="num"/>
    <w:basedOn w:val="DefaultParagraphFont"/>
    <w:rsid w:val="004D5F91"/>
  </w:style>
  <w:style w:type="character" w:customStyle="1" w:styleId="heading">
    <w:name w:val="heading"/>
    <w:basedOn w:val="DefaultParagraphFont"/>
    <w:rsid w:val="004D5F91"/>
  </w:style>
  <w:style w:type="character" w:customStyle="1" w:styleId="chapeau">
    <w:name w:val="chapeau"/>
    <w:basedOn w:val="DefaultParagraphFont"/>
    <w:rsid w:val="004D5F91"/>
  </w:style>
  <w:style w:type="paragraph" w:styleId="TOC5">
    <w:name w:val="toc 5"/>
    <w:basedOn w:val="Normal"/>
    <w:next w:val="Normal"/>
    <w:autoRedefine/>
    <w:uiPriority w:val="39"/>
    <w:unhideWhenUsed/>
    <w:rsid w:val="00F40486"/>
    <w:pPr>
      <w:spacing w:after="100"/>
      <w:ind w:left="960"/>
    </w:pPr>
  </w:style>
  <w:style w:type="character" w:customStyle="1" w:styleId="Date1">
    <w:name w:val="Date1"/>
    <w:basedOn w:val="DefaultParagraphFont"/>
    <w:rsid w:val="001F54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BA"/>
    <w:rPr>
      <w:sz w:val="24"/>
      <w:szCs w:val="24"/>
    </w:rPr>
  </w:style>
  <w:style w:type="paragraph" w:styleId="Heading1">
    <w:name w:val="heading 1"/>
    <w:basedOn w:val="Normal"/>
    <w:next w:val="Normal"/>
    <w:link w:val="Heading1Char"/>
    <w:qFormat/>
    <w:rsid w:val="00DB0763"/>
    <w:pPr>
      <w:numPr>
        <w:numId w:val="1"/>
      </w:numPr>
      <w:spacing w:before="240" w:after="60"/>
      <w:outlineLvl w:val="0"/>
    </w:pPr>
    <w:rPr>
      <w:b/>
      <w:bCs/>
      <w:caps/>
      <w:kern w:val="32"/>
      <w:sz w:val="28"/>
      <w:szCs w:val="28"/>
    </w:rPr>
  </w:style>
  <w:style w:type="paragraph" w:styleId="Heading2">
    <w:name w:val="heading 2"/>
    <w:basedOn w:val="Normal"/>
    <w:next w:val="Normal"/>
    <w:link w:val="Heading2Char"/>
    <w:autoRedefine/>
    <w:qFormat/>
    <w:rsid w:val="00B34C4A"/>
    <w:pPr>
      <w:keepNext/>
      <w:numPr>
        <w:ilvl w:val="1"/>
        <w:numId w:val="1"/>
      </w:numPr>
      <w:spacing w:before="240" w:after="60"/>
      <w:outlineLvl w:val="1"/>
    </w:pPr>
    <w:rPr>
      <w:b/>
      <w:bCs/>
      <w:szCs w:val="28"/>
    </w:rPr>
  </w:style>
  <w:style w:type="paragraph" w:styleId="Heading3">
    <w:name w:val="heading 3"/>
    <w:basedOn w:val="Normal"/>
    <w:next w:val="Normal"/>
    <w:link w:val="Heading3Char"/>
    <w:qFormat/>
    <w:rsid w:val="008602BA"/>
    <w:pPr>
      <w:keepNext/>
      <w:numPr>
        <w:ilvl w:val="2"/>
        <w:numId w:val="1"/>
      </w:numPr>
      <w:spacing w:before="240" w:after="60"/>
      <w:outlineLvl w:val="2"/>
    </w:pPr>
    <w:rPr>
      <w:b/>
      <w:bCs/>
      <w:szCs w:val="26"/>
    </w:rPr>
  </w:style>
  <w:style w:type="paragraph" w:styleId="Heading4">
    <w:name w:val="heading 4"/>
    <w:basedOn w:val="Normal"/>
    <w:next w:val="Normal"/>
    <w:link w:val="Heading4Char"/>
    <w:qFormat/>
    <w:rsid w:val="008602BA"/>
    <w:pPr>
      <w:keepNext/>
      <w:numPr>
        <w:ilvl w:val="3"/>
        <w:numId w:val="1"/>
      </w:numPr>
      <w:spacing w:before="240" w:after="60"/>
      <w:outlineLvl w:val="3"/>
    </w:pPr>
    <w:rPr>
      <w:bCs/>
      <w:szCs w:val="28"/>
    </w:rPr>
  </w:style>
  <w:style w:type="paragraph" w:styleId="Heading5">
    <w:name w:val="heading 5"/>
    <w:basedOn w:val="Normal"/>
    <w:next w:val="Normal"/>
    <w:link w:val="Heading5Char"/>
    <w:qFormat/>
    <w:rsid w:val="008602BA"/>
    <w:pPr>
      <w:numPr>
        <w:ilvl w:val="4"/>
        <w:numId w:val="1"/>
      </w:numPr>
      <w:spacing w:before="240" w:after="60"/>
      <w:outlineLvl w:val="4"/>
    </w:pPr>
    <w:rPr>
      <w:bCs/>
      <w:i/>
      <w:iCs/>
      <w:szCs w:val="26"/>
    </w:rPr>
  </w:style>
  <w:style w:type="paragraph" w:styleId="Heading6">
    <w:name w:val="heading 6"/>
    <w:basedOn w:val="Normal"/>
    <w:next w:val="Normal"/>
    <w:link w:val="Heading6Char"/>
    <w:qFormat/>
    <w:rsid w:val="008602BA"/>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8602BA"/>
    <w:pPr>
      <w:numPr>
        <w:ilvl w:val="6"/>
        <w:numId w:val="2"/>
      </w:numPr>
      <w:spacing w:before="240" w:after="60"/>
      <w:outlineLvl w:val="6"/>
    </w:pPr>
  </w:style>
  <w:style w:type="paragraph" w:styleId="Heading8">
    <w:name w:val="heading 8"/>
    <w:basedOn w:val="Normal"/>
    <w:next w:val="Normal"/>
    <w:link w:val="Heading8Char"/>
    <w:qFormat/>
    <w:rsid w:val="008602BA"/>
    <w:pPr>
      <w:numPr>
        <w:ilvl w:val="7"/>
        <w:numId w:val="2"/>
      </w:numPr>
      <w:spacing w:before="240" w:after="60"/>
      <w:outlineLvl w:val="7"/>
    </w:pPr>
    <w:rPr>
      <w:i/>
      <w:iCs/>
    </w:rPr>
  </w:style>
  <w:style w:type="paragraph" w:styleId="Heading9">
    <w:name w:val="heading 9"/>
    <w:basedOn w:val="Normal"/>
    <w:next w:val="Normal"/>
    <w:link w:val="Heading9Char"/>
    <w:qFormat/>
    <w:rsid w:val="008602BA"/>
    <w:pPr>
      <w:numPr>
        <w:ilvl w:val="8"/>
        <w:numId w:val="2"/>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63"/>
    <w:rPr>
      <w:b/>
      <w:bCs/>
      <w:caps/>
      <w:kern w:val="32"/>
      <w:sz w:val="28"/>
      <w:szCs w:val="28"/>
    </w:rPr>
  </w:style>
  <w:style w:type="character" w:customStyle="1" w:styleId="Heading2Char">
    <w:name w:val="Heading 2 Char"/>
    <w:basedOn w:val="DefaultParagraphFont"/>
    <w:link w:val="Heading2"/>
    <w:rsid w:val="00B34C4A"/>
    <w:rPr>
      <w:b/>
      <w:bCs/>
      <w:sz w:val="24"/>
      <w:szCs w:val="28"/>
    </w:rPr>
  </w:style>
  <w:style w:type="character" w:customStyle="1" w:styleId="Heading3Char">
    <w:name w:val="Heading 3 Char"/>
    <w:basedOn w:val="DefaultParagraphFont"/>
    <w:link w:val="Heading3"/>
    <w:rsid w:val="008602BA"/>
    <w:rPr>
      <w:b/>
      <w:bCs/>
      <w:sz w:val="24"/>
      <w:szCs w:val="26"/>
    </w:rPr>
  </w:style>
  <w:style w:type="character" w:customStyle="1" w:styleId="Heading4Char">
    <w:name w:val="Heading 4 Char"/>
    <w:basedOn w:val="DefaultParagraphFont"/>
    <w:link w:val="Heading4"/>
    <w:rsid w:val="008602BA"/>
    <w:rPr>
      <w:bCs/>
      <w:sz w:val="24"/>
      <w:szCs w:val="28"/>
    </w:rPr>
  </w:style>
  <w:style w:type="character" w:customStyle="1" w:styleId="Heading5Char">
    <w:name w:val="Heading 5 Char"/>
    <w:basedOn w:val="DefaultParagraphFont"/>
    <w:link w:val="Heading5"/>
    <w:rsid w:val="008602BA"/>
    <w:rPr>
      <w:bCs/>
      <w:i/>
      <w:iCs/>
      <w:sz w:val="24"/>
      <w:szCs w:val="26"/>
    </w:rPr>
  </w:style>
  <w:style w:type="character" w:customStyle="1" w:styleId="Heading6Char">
    <w:name w:val="Heading 6 Char"/>
    <w:basedOn w:val="DefaultParagraphFont"/>
    <w:link w:val="Heading6"/>
    <w:rsid w:val="008602BA"/>
    <w:rPr>
      <w:b/>
      <w:bCs/>
      <w:sz w:val="22"/>
      <w:szCs w:val="22"/>
    </w:rPr>
  </w:style>
  <w:style w:type="character" w:customStyle="1" w:styleId="Heading7Char">
    <w:name w:val="Heading 7 Char"/>
    <w:basedOn w:val="DefaultParagraphFont"/>
    <w:link w:val="Heading7"/>
    <w:rsid w:val="008602BA"/>
    <w:rPr>
      <w:sz w:val="24"/>
      <w:szCs w:val="24"/>
    </w:rPr>
  </w:style>
  <w:style w:type="character" w:customStyle="1" w:styleId="Heading8Char">
    <w:name w:val="Heading 8 Char"/>
    <w:basedOn w:val="DefaultParagraphFont"/>
    <w:link w:val="Heading8"/>
    <w:rsid w:val="008602BA"/>
    <w:rPr>
      <w:i/>
      <w:iCs/>
      <w:sz w:val="24"/>
      <w:szCs w:val="24"/>
    </w:rPr>
  </w:style>
  <w:style w:type="character" w:customStyle="1" w:styleId="Heading9Char">
    <w:name w:val="Heading 9 Char"/>
    <w:basedOn w:val="DefaultParagraphFont"/>
    <w:link w:val="Heading9"/>
    <w:rsid w:val="008602BA"/>
    <w:rPr>
      <w:rFonts w:ascii="Arial" w:hAnsi="Arial"/>
      <w:sz w:val="22"/>
      <w:szCs w:val="22"/>
    </w:rPr>
  </w:style>
  <w:style w:type="character" w:styleId="Emphasis">
    <w:name w:val="Emphasis"/>
    <w:basedOn w:val="DefaultParagraphFont"/>
    <w:qFormat/>
    <w:rsid w:val="008602BA"/>
    <w:rPr>
      <w:i/>
      <w:iCs/>
    </w:rPr>
  </w:style>
  <w:style w:type="paragraph" w:styleId="FootnoteText">
    <w:name w:val="footnote text"/>
    <w:basedOn w:val="Normal"/>
    <w:link w:val="FootnoteTextChar"/>
    <w:uiPriority w:val="99"/>
    <w:unhideWhenUsed/>
    <w:rsid w:val="00AE65AA"/>
    <w:rPr>
      <w:sz w:val="20"/>
      <w:szCs w:val="20"/>
    </w:rPr>
  </w:style>
  <w:style w:type="character" w:customStyle="1" w:styleId="FootnoteTextChar">
    <w:name w:val="Footnote Text Char"/>
    <w:basedOn w:val="DefaultParagraphFont"/>
    <w:link w:val="FootnoteText"/>
    <w:uiPriority w:val="99"/>
    <w:rsid w:val="00AE65AA"/>
  </w:style>
  <w:style w:type="character" w:styleId="FootnoteReference">
    <w:name w:val="footnote reference"/>
    <w:basedOn w:val="DefaultParagraphFont"/>
    <w:uiPriority w:val="99"/>
    <w:unhideWhenUsed/>
    <w:rsid w:val="00AE65AA"/>
    <w:rPr>
      <w:vertAlign w:val="superscript"/>
    </w:rPr>
  </w:style>
  <w:style w:type="paragraph" w:styleId="BalloonText">
    <w:name w:val="Balloon Text"/>
    <w:basedOn w:val="Normal"/>
    <w:link w:val="BalloonTextChar"/>
    <w:uiPriority w:val="99"/>
    <w:semiHidden/>
    <w:unhideWhenUsed/>
    <w:rsid w:val="00D37308"/>
    <w:rPr>
      <w:rFonts w:ascii="Tahoma" w:hAnsi="Tahoma" w:cs="Tahoma"/>
      <w:sz w:val="16"/>
      <w:szCs w:val="16"/>
    </w:rPr>
  </w:style>
  <w:style w:type="character" w:customStyle="1" w:styleId="BalloonTextChar">
    <w:name w:val="Balloon Text Char"/>
    <w:basedOn w:val="DefaultParagraphFont"/>
    <w:link w:val="BalloonText"/>
    <w:uiPriority w:val="99"/>
    <w:semiHidden/>
    <w:rsid w:val="00D37308"/>
    <w:rPr>
      <w:rFonts w:ascii="Tahoma" w:hAnsi="Tahoma" w:cs="Tahoma"/>
      <w:sz w:val="16"/>
      <w:szCs w:val="16"/>
    </w:rPr>
  </w:style>
  <w:style w:type="paragraph" w:customStyle="1" w:styleId="p1">
    <w:name w:val="p1"/>
    <w:basedOn w:val="Normal"/>
    <w:rsid w:val="007C2073"/>
    <w:pPr>
      <w:spacing w:before="100" w:beforeAutospacing="1" w:after="100" w:afterAutospacing="1"/>
    </w:pPr>
  </w:style>
  <w:style w:type="character" w:styleId="Strong">
    <w:name w:val="Strong"/>
    <w:basedOn w:val="DefaultParagraphFont"/>
    <w:uiPriority w:val="22"/>
    <w:qFormat/>
    <w:rsid w:val="007C2073"/>
    <w:rPr>
      <w:b/>
      <w:bCs/>
    </w:rPr>
  </w:style>
  <w:style w:type="paragraph" w:styleId="Header">
    <w:name w:val="header"/>
    <w:basedOn w:val="Normal"/>
    <w:link w:val="HeaderChar"/>
    <w:uiPriority w:val="99"/>
    <w:unhideWhenUsed/>
    <w:rsid w:val="00DB03B5"/>
    <w:pPr>
      <w:tabs>
        <w:tab w:val="center" w:pos="4680"/>
        <w:tab w:val="right" w:pos="9360"/>
      </w:tabs>
    </w:pPr>
  </w:style>
  <w:style w:type="character" w:customStyle="1" w:styleId="HeaderChar">
    <w:name w:val="Header Char"/>
    <w:basedOn w:val="DefaultParagraphFont"/>
    <w:link w:val="Header"/>
    <w:uiPriority w:val="99"/>
    <w:rsid w:val="00DB03B5"/>
    <w:rPr>
      <w:sz w:val="24"/>
      <w:szCs w:val="24"/>
    </w:rPr>
  </w:style>
  <w:style w:type="paragraph" w:styleId="Footer">
    <w:name w:val="footer"/>
    <w:basedOn w:val="Normal"/>
    <w:link w:val="FooterChar"/>
    <w:uiPriority w:val="99"/>
    <w:unhideWhenUsed/>
    <w:rsid w:val="00DB03B5"/>
    <w:pPr>
      <w:tabs>
        <w:tab w:val="center" w:pos="4680"/>
        <w:tab w:val="right" w:pos="9360"/>
      </w:tabs>
    </w:pPr>
  </w:style>
  <w:style w:type="character" w:customStyle="1" w:styleId="FooterChar">
    <w:name w:val="Footer Char"/>
    <w:basedOn w:val="DefaultParagraphFont"/>
    <w:link w:val="Footer"/>
    <w:uiPriority w:val="99"/>
    <w:rsid w:val="00DB03B5"/>
    <w:rPr>
      <w:sz w:val="24"/>
      <w:szCs w:val="24"/>
    </w:rPr>
  </w:style>
  <w:style w:type="character" w:styleId="Hyperlink">
    <w:name w:val="Hyperlink"/>
    <w:basedOn w:val="DefaultParagraphFont"/>
    <w:uiPriority w:val="99"/>
    <w:unhideWhenUsed/>
    <w:rsid w:val="00622C70"/>
    <w:rPr>
      <w:color w:val="0000FF" w:themeColor="hyperlink"/>
      <w:u w:val="single"/>
    </w:rPr>
  </w:style>
  <w:style w:type="paragraph" w:customStyle="1" w:styleId="Default">
    <w:name w:val="Default"/>
    <w:rsid w:val="00454A34"/>
    <w:pPr>
      <w:autoSpaceDE w:val="0"/>
      <w:autoSpaceDN w:val="0"/>
      <w:adjustRightInd w:val="0"/>
    </w:pPr>
    <w:rPr>
      <w:color w:val="000000"/>
      <w:sz w:val="24"/>
      <w:szCs w:val="24"/>
    </w:rPr>
  </w:style>
  <w:style w:type="paragraph" w:styleId="TOC1">
    <w:name w:val="toc 1"/>
    <w:basedOn w:val="Normal"/>
    <w:next w:val="Normal"/>
    <w:autoRedefine/>
    <w:uiPriority w:val="39"/>
    <w:unhideWhenUsed/>
    <w:rsid w:val="00392F8B"/>
    <w:pPr>
      <w:spacing w:after="100"/>
    </w:pPr>
  </w:style>
  <w:style w:type="paragraph" w:styleId="TOC2">
    <w:name w:val="toc 2"/>
    <w:basedOn w:val="Normal"/>
    <w:next w:val="Normal"/>
    <w:autoRedefine/>
    <w:uiPriority w:val="39"/>
    <w:unhideWhenUsed/>
    <w:rsid w:val="00392F8B"/>
    <w:pPr>
      <w:spacing w:after="100"/>
      <w:ind w:left="240"/>
    </w:pPr>
  </w:style>
  <w:style w:type="paragraph" w:styleId="TOC3">
    <w:name w:val="toc 3"/>
    <w:basedOn w:val="Normal"/>
    <w:next w:val="Normal"/>
    <w:autoRedefine/>
    <w:uiPriority w:val="39"/>
    <w:unhideWhenUsed/>
    <w:rsid w:val="00392F8B"/>
    <w:pPr>
      <w:spacing w:after="100"/>
      <w:ind w:left="480"/>
    </w:pPr>
  </w:style>
  <w:style w:type="paragraph" w:styleId="TOC4">
    <w:name w:val="toc 4"/>
    <w:basedOn w:val="Normal"/>
    <w:next w:val="Normal"/>
    <w:autoRedefine/>
    <w:uiPriority w:val="39"/>
    <w:unhideWhenUsed/>
    <w:rsid w:val="00392F8B"/>
    <w:pPr>
      <w:spacing w:after="100"/>
      <w:ind w:left="720"/>
    </w:pPr>
  </w:style>
  <w:style w:type="paragraph" w:styleId="ListParagraph">
    <w:name w:val="List Paragraph"/>
    <w:basedOn w:val="Normal"/>
    <w:uiPriority w:val="34"/>
    <w:qFormat/>
    <w:rsid w:val="00392F8B"/>
    <w:pPr>
      <w:ind w:left="720"/>
      <w:contextualSpacing/>
    </w:pPr>
  </w:style>
  <w:style w:type="character" w:customStyle="1" w:styleId="docheadspacer">
    <w:name w:val="docheadspacer"/>
    <w:basedOn w:val="DefaultParagraphFont"/>
    <w:rsid w:val="00392F8B"/>
  </w:style>
  <w:style w:type="character" w:customStyle="1" w:styleId="smallcap">
    <w:name w:val="smallcap"/>
    <w:basedOn w:val="DefaultParagraphFont"/>
    <w:rsid w:val="00392F8B"/>
  </w:style>
  <w:style w:type="paragraph" w:customStyle="1" w:styleId="hp">
    <w:name w:val="hp"/>
    <w:basedOn w:val="Normal"/>
    <w:rsid w:val="00392F8B"/>
    <w:pPr>
      <w:spacing w:before="100" w:beforeAutospacing="1" w:after="100" w:afterAutospacing="1"/>
    </w:pPr>
  </w:style>
  <w:style w:type="character" w:customStyle="1" w:styleId="emphi">
    <w:name w:val="emphi"/>
    <w:basedOn w:val="DefaultParagraphFont"/>
    <w:rsid w:val="00392F8B"/>
  </w:style>
  <w:style w:type="character" w:customStyle="1" w:styleId="emphb">
    <w:name w:val="emphb"/>
    <w:basedOn w:val="DefaultParagraphFont"/>
    <w:rsid w:val="00392F8B"/>
  </w:style>
  <w:style w:type="character" w:customStyle="1" w:styleId="bold">
    <w:name w:val="bold"/>
    <w:basedOn w:val="DefaultParagraphFont"/>
    <w:rsid w:val="00557BE1"/>
  </w:style>
  <w:style w:type="character" w:customStyle="1" w:styleId="date-display-single">
    <w:name w:val="date-display-single"/>
    <w:basedOn w:val="DefaultParagraphFont"/>
    <w:rsid w:val="003467FF"/>
  </w:style>
  <w:style w:type="paragraph" w:styleId="NormalWeb">
    <w:name w:val="Normal (Web)"/>
    <w:basedOn w:val="Normal"/>
    <w:uiPriority w:val="99"/>
    <w:semiHidden/>
    <w:unhideWhenUsed/>
    <w:rsid w:val="003467FF"/>
    <w:pPr>
      <w:spacing w:before="100" w:beforeAutospacing="1" w:after="100" w:afterAutospacing="1"/>
    </w:pPr>
  </w:style>
  <w:style w:type="character" w:customStyle="1" w:styleId="num">
    <w:name w:val="num"/>
    <w:basedOn w:val="DefaultParagraphFont"/>
    <w:rsid w:val="004D5F91"/>
  </w:style>
  <w:style w:type="character" w:customStyle="1" w:styleId="heading">
    <w:name w:val="heading"/>
    <w:basedOn w:val="DefaultParagraphFont"/>
    <w:rsid w:val="004D5F91"/>
  </w:style>
  <w:style w:type="character" w:customStyle="1" w:styleId="chapeau">
    <w:name w:val="chapeau"/>
    <w:basedOn w:val="DefaultParagraphFont"/>
    <w:rsid w:val="004D5F91"/>
  </w:style>
  <w:style w:type="paragraph" w:styleId="TOC5">
    <w:name w:val="toc 5"/>
    <w:basedOn w:val="Normal"/>
    <w:next w:val="Normal"/>
    <w:autoRedefine/>
    <w:uiPriority w:val="39"/>
    <w:unhideWhenUsed/>
    <w:rsid w:val="00F40486"/>
    <w:pPr>
      <w:spacing w:after="100"/>
      <w:ind w:left="960"/>
    </w:pPr>
  </w:style>
  <w:style w:type="character" w:customStyle="1" w:styleId="Date1">
    <w:name w:val="Date1"/>
    <w:basedOn w:val="DefaultParagraphFont"/>
    <w:rsid w:val="001F5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32210">
      <w:bodyDiv w:val="1"/>
      <w:marLeft w:val="0"/>
      <w:marRight w:val="0"/>
      <w:marTop w:val="0"/>
      <w:marBottom w:val="0"/>
      <w:divBdr>
        <w:top w:val="none" w:sz="0" w:space="0" w:color="auto"/>
        <w:left w:val="none" w:sz="0" w:space="0" w:color="auto"/>
        <w:bottom w:val="none" w:sz="0" w:space="0" w:color="auto"/>
        <w:right w:val="none" w:sz="0" w:space="0" w:color="auto"/>
      </w:divBdr>
    </w:div>
    <w:div w:id="362822842">
      <w:bodyDiv w:val="1"/>
      <w:marLeft w:val="0"/>
      <w:marRight w:val="0"/>
      <w:marTop w:val="0"/>
      <w:marBottom w:val="0"/>
      <w:divBdr>
        <w:top w:val="none" w:sz="0" w:space="0" w:color="auto"/>
        <w:left w:val="none" w:sz="0" w:space="0" w:color="auto"/>
        <w:bottom w:val="none" w:sz="0" w:space="0" w:color="auto"/>
        <w:right w:val="none" w:sz="0" w:space="0" w:color="auto"/>
      </w:divBdr>
    </w:div>
    <w:div w:id="375396350">
      <w:bodyDiv w:val="1"/>
      <w:marLeft w:val="0"/>
      <w:marRight w:val="0"/>
      <w:marTop w:val="0"/>
      <w:marBottom w:val="0"/>
      <w:divBdr>
        <w:top w:val="none" w:sz="0" w:space="0" w:color="auto"/>
        <w:left w:val="none" w:sz="0" w:space="0" w:color="auto"/>
        <w:bottom w:val="none" w:sz="0" w:space="0" w:color="auto"/>
        <w:right w:val="none" w:sz="0" w:space="0" w:color="auto"/>
      </w:divBdr>
      <w:divsChild>
        <w:div w:id="1296252693">
          <w:marLeft w:val="0"/>
          <w:marRight w:val="0"/>
          <w:marTop w:val="0"/>
          <w:marBottom w:val="0"/>
          <w:divBdr>
            <w:top w:val="none" w:sz="0" w:space="0" w:color="auto"/>
            <w:left w:val="none" w:sz="0" w:space="0" w:color="auto"/>
            <w:bottom w:val="none" w:sz="0" w:space="0" w:color="auto"/>
            <w:right w:val="none" w:sz="0" w:space="0" w:color="auto"/>
          </w:divBdr>
          <w:divsChild>
            <w:div w:id="435442486">
              <w:marLeft w:val="0"/>
              <w:marRight w:val="0"/>
              <w:marTop w:val="0"/>
              <w:marBottom w:val="0"/>
              <w:divBdr>
                <w:top w:val="none" w:sz="0" w:space="0" w:color="auto"/>
                <w:left w:val="none" w:sz="0" w:space="0" w:color="auto"/>
                <w:bottom w:val="none" w:sz="0" w:space="0" w:color="auto"/>
                <w:right w:val="none" w:sz="0" w:space="0" w:color="auto"/>
              </w:divBdr>
              <w:divsChild>
                <w:div w:id="689448396">
                  <w:marLeft w:val="0"/>
                  <w:marRight w:val="0"/>
                  <w:marTop w:val="0"/>
                  <w:marBottom w:val="0"/>
                  <w:divBdr>
                    <w:top w:val="none" w:sz="0" w:space="0" w:color="auto"/>
                    <w:left w:val="none" w:sz="0" w:space="0" w:color="auto"/>
                    <w:bottom w:val="none" w:sz="0" w:space="0" w:color="auto"/>
                    <w:right w:val="none" w:sz="0" w:space="0" w:color="auto"/>
                  </w:divBdr>
                  <w:divsChild>
                    <w:div w:id="1268541341">
                      <w:marLeft w:val="0"/>
                      <w:marRight w:val="0"/>
                      <w:marTop w:val="0"/>
                      <w:marBottom w:val="0"/>
                      <w:divBdr>
                        <w:top w:val="none" w:sz="0" w:space="0" w:color="auto"/>
                        <w:left w:val="none" w:sz="0" w:space="0" w:color="auto"/>
                        <w:bottom w:val="none" w:sz="0" w:space="0" w:color="auto"/>
                        <w:right w:val="none" w:sz="0" w:space="0" w:color="auto"/>
                      </w:divBdr>
                      <w:divsChild>
                        <w:div w:id="1041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054438">
      <w:bodyDiv w:val="1"/>
      <w:marLeft w:val="0"/>
      <w:marRight w:val="0"/>
      <w:marTop w:val="0"/>
      <w:marBottom w:val="0"/>
      <w:divBdr>
        <w:top w:val="none" w:sz="0" w:space="0" w:color="auto"/>
        <w:left w:val="none" w:sz="0" w:space="0" w:color="auto"/>
        <w:bottom w:val="none" w:sz="0" w:space="0" w:color="auto"/>
        <w:right w:val="none" w:sz="0" w:space="0" w:color="auto"/>
      </w:divBdr>
      <w:divsChild>
        <w:div w:id="334503880">
          <w:marLeft w:val="0"/>
          <w:marRight w:val="0"/>
          <w:marTop w:val="0"/>
          <w:marBottom w:val="0"/>
          <w:divBdr>
            <w:top w:val="none" w:sz="0" w:space="0" w:color="auto"/>
            <w:left w:val="none" w:sz="0" w:space="0" w:color="auto"/>
            <w:bottom w:val="none" w:sz="0" w:space="0" w:color="auto"/>
            <w:right w:val="none" w:sz="0" w:space="0" w:color="auto"/>
          </w:divBdr>
          <w:divsChild>
            <w:div w:id="843009644">
              <w:marLeft w:val="0"/>
              <w:marRight w:val="0"/>
              <w:marTop w:val="0"/>
              <w:marBottom w:val="0"/>
              <w:divBdr>
                <w:top w:val="none" w:sz="0" w:space="0" w:color="auto"/>
                <w:left w:val="none" w:sz="0" w:space="0" w:color="auto"/>
                <w:bottom w:val="none" w:sz="0" w:space="0" w:color="auto"/>
                <w:right w:val="none" w:sz="0" w:space="0" w:color="auto"/>
              </w:divBdr>
              <w:divsChild>
                <w:div w:id="1118647865">
                  <w:marLeft w:val="0"/>
                  <w:marRight w:val="0"/>
                  <w:marTop w:val="0"/>
                  <w:marBottom w:val="0"/>
                  <w:divBdr>
                    <w:top w:val="none" w:sz="0" w:space="0" w:color="auto"/>
                    <w:left w:val="none" w:sz="0" w:space="0" w:color="auto"/>
                    <w:bottom w:val="none" w:sz="0" w:space="0" w:color="auto"/>
                    <w:right w:val="none" w:sz="0" w:space="0" w:color="auto"/>
                  </w:divBdr>
                  <w:divsChild>
                    <w:div w:id="1064109835">
                      <w:marLeft w:val="0"/>
                      <w:marRight w:val="0"/>
                      <w:marTop w:val="0"/>
                      <w:marBottom w:val="0"/>
                      <w:divBdr>
                        <w:top w:val="none" w:sz="0" w:space="0" w:color="auto"/>
                        <w:left w:val="none" w:sz="0" w:space="0" w:color="auto"/>
                        <w:bottom w:val="none" w:sz="0" w:space="0" w:color="auto"/>
                        <w:right w:val="none" w:sz="0" w:space="0" w:color="auto"/>
                      </w:divBdr>
                      <w:divsChild>
                        <w:div w:id="14792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4078">
                  <w:marLeft w:val="0"/>
                  <w:marRight w:val="0"/>
                  <w:marTop w:val="0"/>
                  <w:marBottom w:val="0"/>
                  <w:divBdr>
                    <w:top w:val="none" w:sz="0" w:space="0" w:color="auto"/>
                    <w:left w:val="none" w:sz="0" w:space="0" w:color="auto"/>
                    <w:bottom w:val="none" w:sz="0" w:space="0" w:color="auto"/>
                    <w:right w:val="none" w:sz="0" w:space="0" w:color="auto"/>
                  </w:divBdr>
                  <w:divsChild>
                    <w:div w:id="1777870267">
                      <w:marLeft w:val="0"/>
                      <w:marRight w:val="0"/>
                      <w:marTop w:val="0"/>
                      <w:marBottom w:val="0"/>
                      <w:divBdr>
                        <w:top w:val="none" w:sz="0" w:space="0" w:color="auto"/>
                        <w:left w:val="none" w:sz="0" w:space="0" w:color="auto"/>
                        <w:bottom w:val="none" w:sz="0" w:space="0" w:color="auto"/>
                        <w:right w:val="none" w:sz="0" w:space="0" w:color="auto"/>
                      </w:divBdr>
                      <w:divsChild>
                        <w:div w:id="10057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8559">
                  <w:marLeft w:val="0"/>
                  <w:marRight w:val="0"/>
                  <w:marTop w:val="0"/>
                  <w:marBottom w:val="0"/>
                  <w:divBdr>
                    <w:top w:val="none" w:sz="0" w:space="0" w:color="auto"/>
                    <w:left w:val="none" w:sz="0" w:space="0" w:color="auto"/>
                    <w:bottom w:val="none" w:sz="0" w:space="0" w:color="auto"/>
                    <w:right w:val="none" w:sz="0" w:space="0" w:color="auto"/>
                  </w:divBdr>
                  <w:divsChild>
                    <w:div w:id="1956056673">
                      <w:marLeft w:val="0"/>
                      <w:marRight w:val="0"/>
                      <w:marTop w:val="0"/>
                      <w:marBottom w:val="0"/>
                      <w:divBdr>
                        <w:top w:val="none" w:sz="0" w:space="0" w:color="auto"/>
                        <w:left w:val="none" w:sz="0" w:space="0" w:color="auto"/>
                        <w:bottom w:val="none" w:sz="0" w:space="0" w:color="auto"/>
                        <w:right w:val="none" w:sz="0" w:space="0" w:color="auto"/>
                      </w:divBdr>
                      <w:divsChild>
                        <w:div w:id="9337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502351">
      <w:bodyDiv w:val="1"/>
      <w:marLeft w:val="0"/>
      <w:marRight w:val="0"/>
      <w:marTop w:val="0"/>
      <w:marBottom w:val="0"/>
      <w:divBdr>
        <w:top w:val="none" w:sz="0" w:space="0" w:color="auto"/>
        <w:left w:val="none" w:sz="0" w:space="0" w:color="auto"/>
        <w:bottom w:val="none" w:sz="0" w:space="0" w:color="auto"/>
        <w:right w:val="none" w:sz="0" w:space="0" w:color="auto"/>
      </w:divBdr>
      <w:divsChild>
        <w:div w:id="1732075742">
          <w:marLeft w:val="0"/>
          <w:marRight w:val="0"/>
          <w:marTop w:val="0"/>
          <w:marBottom w:val="0"/>
          <w:divBdr>
            <w:top w:val="none" w:sz="0" w:space="0" w:color="auto"/>
            <w:left w:val="none" w:sz="0" w:space="0" w:color="auto"/>
            <w:bottom w:val="none" w:sz="0" w:space="0" w:color="auto"/>
            <w:right w:val="none" w:sz="0" w:space="0" w:color="auto"/>
          </w:divBdr>
          <w:divsChild>
            <w:div w:id="705371120">
              <w:marLeft w:val="0"/>
              <w:marRight w:val="0"/>
              <w:marTop w:val="0"/>
              <w:marBottom w:val="0"/>
              <w:divBdr>
                <w:top w:val="none" w:sz="0" w:space="0" w:color="auto"/>
                <w:left w:val="none" w:sz="0" w:space="0" w:color="auto"/>
                <w:bottom w:val="none" w:sz="0" w:space="0" w:color="auto"/>
                <w:right w:val="none" w:sz="0" w:space="0" w:color="auto"/>
              </w:divBdr>
              <w:divsChild>
                <w:div w:id="217057478">
                  <w:marLeft w:val="0"/>
                  <w:marRight w:val="0"/>
                  <w:marTop w:val="0"/>
                  <w:marBottom w:val="0"/>
                  <w:divBdr>
                    <w:top w:val="none" w:sz="0" w:space="0" w:color="auto"/>
                    <w:left w:val="none" w:sz="0" w:space="0" w:color="auto"/>
                    <w:bottom w:val="none" w:sz="0" w:space="0" w:color="auto"/>
                    <w:right w:val="none" w:sz="0" w:space="0" w:color="auto"/>
                  </w:divBdr>
                  <w:divsChild>
                    <w:div w:id="1774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23962">
              <w:marLeft w:val="0"/>
              <w:marRight w:val="0"/>
              <w:marTop w:val="0"/>
              <w:marBottom w:val="0"/>
              <w:divBdr>
                <w:top w:val="none" w:sz="0" w:space="0" w:color="auto"/>
                <w:left w:val="none" w:sz="0" w:space="0" w:color="auto"/>
                <w:bottom w:val="none" w:sz="0" w:space="0" w:color="auto"/>
                <w:right w:val="none" w:sz="0" w:space="0" w:color="auto"/>
              </w:divBdr>
              <w:divsChild>
                <w:div w:id="1010449905">
                  <w:marLeft w:val="0"/>
                  <w:marRight w:val="0"/>
                  <w:marTop w:val="0"/>
                  <w:marBottom w:val="0"/>
                  <w:divBdr>
                    <w:top w:val="none" w:sz="0" w:space="0" w:color="auto"/>
                    <w:left w:val="none" w:sz="0" w:space="0" w:color="auto"/>
                    <w:bottom w:val="none" w:sz="0" w:space="0" w:color="auto"/>
                    <w:right w:val="none" w:sz="0" w:space="0" w:color="auto"/>
                  </w:divBdr>
                  <w:divsChild>
                    <w:div w:id="577204015">
                      <w:marLeft w:val="0"/>
                      <w:marRight w:val="0"/>
                      <w:marTop w:val="0"/>
                      <w:marBottom w:val="0"/>
                      <w:divBdr>
                        <w:top w:val="none" w:sz="0" w:space="0" w:color="auto"/>
                        <w:left w:val="none" w:sz="0" w:space="0" w:color="auto"/>
                        <w:bottom w:val="none" w:sz="0" w:space="0" w:color="auto"/>
                        <w:right w:val="none" w:sz="0" w:space="0" w:color="auto"/>
                      </w:divBdr>
                    </w:div>
                    <w:div w:id="2093625959">
                      <w:marLeft w:val="0"/>
                      <w:marRight w:val="0"/>
                      <w:marTop w:val="0"/>
                      <w:marBottom w:val="0"/>
                      <w:divBdr>
                        <w:top w:val="none" w:sz="0" w:space="0" w:color="auto"/>
                        <w:left w:val="none" w:sz="0" w:space="0" w:color="auto"/>
                        <w:bottom w:val="none" w:sz="0" w:space="0" w:color="auto"/>
                        <w:right w:val="none" w:sz="0" w:space="0" w:color="auto"/>
                      </w:divBdr>
                      <w:divsChild>
                        <w:div w:id="826869774">
                          <w:marLeft w:val="0"/>
                          <w:marRight w:val="0"/>
                          <w:marTop w:val="0"/>
                          <w:marBottom w:val="0"/>
                          <w:divBdr>
                            <w:top w:val="none" w:sz="0" w:space="0" w:color="auto"/>
                            <w:left w:val="none" w:sz="0" w:space="0" w:color="auto"/>
                            <w:bottom w:val="none" w:sz="0" w:space="0" w:color="auto"/>
                            <w:right w:val="none" w:sz="0" w:space="0" w:color="auto"/>
                          </w:divBdr>
                          <w:divsChild>
                            <w:div w:id="30306486">
                              <w:marLeft w:val="0"/>
                              <w:marRight w:val="0"/>
                              <w:marTop w:val="0"/>
                              <w:marBottom w:val="0"/>
                              <w:divBdr>
                                <w:top w:val="none" w:sz="0" w:space="0" w:color="auto"/>
                                <w:left w:val="none" w:sz="0" w:space="0" w:color="auto"/>
                                <w:bottom w:val="none" w:sz="0" w:space="0" w:color="auto"/>
                                <w:right w:val="none" w:sz="0" w:space="0" w:color="auto"/>
                              </w:divBdr>
                              <w:divsChild>
                                <w:div w:id="234245879">
                                  <w:marLeft w:val="0"/>
                                  <w:marRight w:val="0"/>
                                  <w:marTop w:val="0"/>
                                  <w:marBottom w:val="0"/>
                                  <w:divBdr>
                                    <w:top w:val="none" w:sz="0" w:space="0" w:color="auto"/>
                                    <w:left w:val="none" w:sz="0" w:space="0" w:color="auto"/>
                                    <w:bottom w:val="none" w:sz="0" w:space="0" w:color="auto"/>
                                    <w:right w:val="none" w:sz="0" w:space="0" w:color="auto"/>
                                  </w:divBdr>
                                </w:div>
                                <w:div w:id="113058451">
                                  <w:marLeft w:val="0"/>
                                  <w:marRight w:val="0"/>
                                  <w:marTop w:val="0"/>
                                  <w:marBottom w:val="0"/>
                                  <w:divBdr>
                                    <w:top w:val="none" w:sz="0" w:space="0" w:color="auto"/>
                                    <w:left w:val="none" w:sz="0" w:space="0" w:color="auto"/>
                                    <w:bottom w:val="none" w:sz="0" w:space="0" w:color="auto"/>
                                    <w:right w:val="none" w:sz="0" w:space="0" w:color="auto"/>
                                  </w:divBdr>
                                  <w:divsChild>
                                    <w:div w:id="645479595">
                                      <w:marLeft w:val="0"/>
                                      <w:marRight w:val="0"/>
                                      <w:marTop w:val="0"/>
                                      <w:marBottom w:val="0"/>
                                      <w:divBdr>
                                        <w:top w:val="none" w:sz="0" w:space="0" w:color="auto"/>
                                        <w:left w:val="none" w:sz="0" w:space="0" w:color="auto"/>
                                        <w:bottom w:val="none" w:sz="0" w:space="0" w:color="auto"/>
                                        <w:right w:val="none" w:sz="0" w:space="0" w:color="auto"/>
                                      </w:divBdr>
                                      <w:divsChild>
                                        <w:div w:id="1806192630">
                                          <w:marLeft w:val="0"/>
                                          <w:marRight w:val="0"/>
                                          <w:marTop w:val="0"/>
                                          <w:marBottom w:val="0"/>
                                          <w:divBdr>
                                            <w:top w:val="none" w:sz="0" w:space="0" w:color="auto"/>
                                            <w:left w:val="none" w:sz="0" w:space="0" w:color="auto"/>
                                            <w:bottom w:val="none" w:sz="0" w:space="0" w:color="auto"/>
                                            <w:right w:val="none" w:sz="0" w:space="0" w:color="auto"/>
                                          </w:divBdr>
                                          <w:divsChild>
                                            <w:div w:id="517890487">
                                              <w:marLeft w:val="0"/>
                                              <w:marRight w:val="0"/>
                                              <w:marTop w:val="0"/>
                                              <w:marBottom w:val="0"/>
                                              <w:divBdr>
                                                <w:top w:val="none" w:sz="0" w:space="0" w:color="auto"/>
                                                <w:left w:val="none" w:sz="0" w:space="0" w:color="auto"/>
                                                <w:bottom w:val="none" w:sz="0" w:space="0" w:color="auto"/>
                                                <w:right w:val="none" w:sz="0" w:space="0" w:color="auto"/>
                                              </w:divBdr>
                                              <w:divsChild>
                                                <w:div w:id="1696342869">
                                                  <w:marLeft w:val="0"/>
                                                  <w:marRight w:val="0"/>
                                                  <w:marTop w:val="0"/>
                                                  <w:marBottom w:val="0"/>
                                                  <w:divBdr>
                                                    <w:top w:val="none" w:sz="0" w:space="0" w:color="auto"/>
                                                    <w:left w:val="none" w:sz="0" w:space="0" w:color="auto"/>
                                                    <w:bottom w:val="none" w:sz="0" w:space="0" w:color="auto"/>
                                                    <w:right w:val="none" w:sz="0" w:space="0" w:color="auto"/>
                                                  </w:divBdr>
                                                  <w:divsChild>
                                                    <w:div w:id="1927107602">
                                                      <w:marLeft w:val="0"/>
                                                      <w:marRight w:val="0"/>
                                                      <w:marTop w:val="0"/>
                                                      <w:marBottom w:val="0"/>
                                                      <w:divBdr>
                                                        <w:top w:val="none" w:sz="0" w:space="0" w:color="auto"/>
                                                        <w:left w:val="none" w:sz="0" w:space="0" w:color="auto"/>
                                                        <w:bottom w:val="none" w:sz="0" w:space="0" w:color="auto"/>
                                                        <w:right w:val="none" w:sz="0" w:space="0" w:color="auto"/>
                                                      </w:divBdr>
                                                    </w:div>
                                                  </w:divsChild>
                                                </w:div>
                                                <w:div w:id="363679882">
                                                  <w:marLeft w:val="0"/>
                                                  <w:marRight w:val="0"/>
                                                  <w:marTop w:val="0"/>
                                                  <w:marBottom w:val="0"/>
                                                  <w:divBdr>
                                                    <w:top w:val="none" w:sz="0" w:space="0" w:color="auto"/>
                                                    <w:left w:val="none" w:sz="0" w:space="0" w:color="auto"/>
                                                    <w:bottom w:val="none" w:sz="0" w:space="0" w:color="auto"/>
                                                    <w:right w:val="none" w:sz="0" w:space="0" w:color="auto"/>
                                                  </w:divBdr>
                                                  <w:divsChild>
                                                    <w:div w:id="693964463">
                                                      <w:marLeft w:val="0"/>
                                                      <w:marRight w:val="0"/>
                                                      <w:marTop w:val="0"/>
                                                      <w:marBottom w:val="0"/>
                                                      <w:divBdr>
                                                        <w:top w:val="none" w:sz="0" w:space="0" w:color="auto"/>
                                                        <w:left w:val="none" w:sz="0" w:space="0" w:color="auto"/>
                                                        <w:bottom w:val="none" w:sz="0" w:space="0" w:color="auto"/>
                                                        <w:right w:val="none" w:sz="0" w:space="0" w:color="auto"/>
                                                      </w:divBdr>
                                                      <w:divsChild>
                                                        <w:div w:id="1282803474">
                                                          <w:marLeft w:val="0"/>
                                                          <w:marRight w:val="0"/>
                                                          <w:marTop w:val="0"/>
                                                          <w:marBottom w:val="0"/>
                                                          <w:divBdr>
                                                            <w:top w:val="none" w:sz="0" w:space="0" w:color="auto"/>
                                                            <w:left w:val="none" w:sz="0" w:space="0" w:color="auto"/>
                                                            <w:bottom w:val="none" w:sz="0" w:space="0" w:color="auto"/>
                                                            <w:right w:val="none" w:sz="0" w:space="0" w:color="auto"/>
                                                          </w:divBdr>
                                                          <w:divsChild>
                                                            <w:div w:id="2008363597">
                                                              <w:marLeft w:val="0"/>
                                                              <w:marRight w:val="0"/>
                                                              <w:marTop w:val="0"/>
                                                              <w:marBottom w:val="0"/>
                                                              <w:divBdr>
                                                                <w:top w:val="none" w:sz="0" w:space="0" w:color="auto"/>
                                                                <w:left w:val="none" w:sz="0" w:space="0" w:color="auto"/>
                                                                <w:bottom w:val="none" w:sz="0" w:space="0" w:color="auto"/>
                                                                <w:right w:val="none" w:sz="0" w:space="0" w:color="auto"/>
                                                              </w:divBdr>
                                                            </w:div>
                                                          </w:divsChild>
                                                        </w:div>
                                                        <w:div w:id="142965162">
                                                          <w:marLeft w:val="0"/>
                                                          <w:marRight w:val="0"/>
                                                          <w:marTop w:val="0"/>
                                                          <w:marBottom w:val="0"/>
                                                          <w:divBdr>
                                                            <w:top w:val="none" w:sz="0" w:space="0" w:color="auto"/>
                                                            <w:left w:val="none" w:sz="0" w:space="0" w:color="auto"/>
                                                            <w:bottom w:val="none" w:sz="0" w:space="0" w:color="auto"/>
                                                            <w:right w:val="none" w:sz="0" w:space="0" w:color="auto"/>
                                                          </w:divBdr>
                                                          <w:divsChild>
                                                            <w:div w:id="14053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1747">
                                                      <w:marLeft w:val="0"/>
                                                      <w:marRight w:val="0"/>
                                                      <w:marTop w:val="0"/>
                                                      <w:marBottom w:val="0"/>
                                                      <w:divBdr>
                                                        <w:top w:val="none" w:sz="0" w:space="0" w:color="auto"/>
                                                        <w:left w:val="none" w:sz="0" w:space="0" w:color="auto"/>
                                                        <w:bottom w:val="none" w:sz="0" w:space="0" w:color="auto"/>
                                                        <w:right w:val="none" w:sz="0" w:space="0" w:color="auto"/>
                                                      </w:divBdr>
                                                      <w:divsChild>
                                                        <w:div w:id="1798795254">
                                                          <w:marLeft w:val="0"/>
                                                          <w:marRight w:val="0"/>
                                                          <w:marTop w:val="0"/>
                                                          <w:marBottom w:val="0"/>
                                                          <w:divBdr>
                                                            <w:top w:val="none" w:sz="0" w:space="0" w:color="auto"/>
                                                            <w:left w:val="none" w:sz="0" w:space="0" w:color="auto"/>
                                                            <w:bottom w:val="none" w:sz="0" w:space="0" w:color="auto"/>
                                                            <w:right w:val="none" w:sz="0" w:space="0" w:color="auto"/>
                                                          </w:divBdr>
                                                          <w:divsChild>
                                                            <w:div w:id="1393188360">
                                                              <w:marLeft w:val="0"/>
                                                              <w:marRight w:val="0"/>
                                                              <w:marTop w:val="0"/>
                                                              <w:marBottom w:val="0"/>
                                                              <w:divBdr>
                                                                <w:top w:val="none" w:sz="0" w:space="0" w:color="auto"/>
                                                                <w:left w:val="none" w:sz="0" w:space="0" w:color="auto"/>
                                                                <w:bottom w:val="none" w:sz="0" w:space="0" w:color="auto"/>
                                                                <w:right w:val="none" w:sz="0" w:space="0" w:color="auto"/>
                                                              </w:divBdr>
                                                            </w:div>
                                                          </w:divsChild>
                                                        </w:div>
                                                        <w:div w:id="870608772">
                                                          <w:marLeft w:val="0"/>
                                                          <w:marRight w:val="0"/>
                                                          <w:marTop w:val="0"/>
                                                          <w:marBottom w:val="0"/>
                                                          <w:divBdr>
                                                            <w:top w:val="none" w:sz="0" w:space="0" w:color="auto"/>
                                                            <w:left w:val="none" w:sz="0" w:space="0" w:color="auto"/>
                                                            <w:bottom w:val="none" w:sz="0" w:space="0" w:color="auto"/>
                                                            <w:right w:val="none" w:sz="0" w:space="0" w:color="auto"/>
                                                          </w:divBdr>
                                                          <w:divsChild>
                                                            <w:div w:id="1434012038">
                                                              <w:marLeft w:val="0"/>
                                                              <w:marRight w:val="0"/>
                                                              <w:marTop w:val="0"/>
                                                              <w:marBottom w:val="0"/>
                                                              <w:divBdr>
                                                                <w:top w:val="none" w:sz="0" w:space="0" w:color="auto"/>
                                                                <w:left w:val="none" w:sz="0" w:space="0" w:color="auto"/>
                                                                <w:bottom w:val="none" w:sz="0" w:space="0" w:color="auto"/>
                                                                <w:right w:val="none" w:sz="0" w:space="0" w:color="auto"/>
                                                              </w:divBdr>
                                                              <w:divsChild>
                                                                <w:div w:id="1586383332">
                                                                  <w:marLeft w:val="0"/>
                                                                  <w:marRight w:val="0"/>
                                                                  <w:marTop w:val="0"/>
                                                                  <w:marBottom w:val="0"/>
                                                                  <w:divBdr>
                                                                    <w:top w:val="none" w:sz="0" w:space="0" w:color="auto"/>
                                                                    <w:left w:val="none" w:sz="0" w:space="0" w:color="auto"/>
                                                                    <w:bottom w:val="none" w:sz="0" w:space="0" w:color="auto"/>
                                                                    <w:right w:val="none" w:sz="0" w:space="0" w:color="auto"/>
                                                                  </w:divBdr>
                                                                </w:div>
                                                              </w:divsChild>
                                                            </w:div>
                                                            <w:div w:id="1282421758">
                                                              <w:marLeft w:val="0"/>
                                                              <w:marRight w:val="0"/>
                                                              <w:marTop w:val="0"/>
                                                              <w:marBottom w:val="0"/>
                                                              <w:divBdr>
                                                                <w:top w:val="none" w:sz="0" w:space="0" w:color="auto"/>
                                                                <w:left w:val="none" w:sz="0" w:space="0" w:color="auto"/>
                                                                <w:bottom w:val="none" w:sz="0" w:space="0" w:color="auto"/>
                                                                <w:right w:val="none" w:sz="0" w:space="0" w:color="auto"/>
                                                              </w:divBdr>
                                                              <w:divsChild>
                                                                <w:div w:id="9687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6094">
                                                          <w:marLeft w:val="0"/>
                                                          <w:marRight w:val="0"/>
                                                          <w:marTop w:val="0"/>
                                                          <w:marBottom w:val="0"/>
                                                          <w:divBdr>
                                                            <w:top w:val="none" w:sz="0" w:space="0" w:color="auto"/>
                                                            <w:left w:val="none" w:sz="0" w:space="0" w:color="auto"/>
                                                            <w:bottom w:val="none" w:sz="0" w:space="0" w:color="auto"/>
                                                            <w:right w:val="none" w:sz="0" w:space="0" w:color="auto"/>
                                                          </w:divBdr>
                                                          <w:divsChild>
                                                            <w:div w:id="1263415527">
                                                              <w:marLeft w:val="0"/>
                                                              <w:marRight w:val="0"/>
                                                              <w:marTop w:val="0"/>
                                                              <w:marBottom w:val="0"/>
                                                              <w:divBdr>
                                                                <w:top w:val="none" w:sz="0" w:space="0" w:color="auto"/>
                                                                <w:left w:val="none" w:sz="0" w:space="0" w:color="auto"/>
                                                                <w:bottom w:val="none" w:sz="0" w:space="0" w:color="auto"/>
                                                                <w:right w:val="none" w:sz="0" w:space="0" w:color="auto"/>
                                                              </w:divBdr>
                                                            </w:div>
                                                          </w:divsChild>
                                                        </w:div>
                                                        <w:div w:id="9512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80521">
                                                  <w:marLeft w:val="0"/>
                                                  <w:marRight w:val="0"/>
                                                  <w:marTop w:val="0"/>
                                                  <w:marBottom w:val="0"/>
                                                  <w:divBdr>
                                                    <w:top w:val="none" w:sz="0" w:space="0" w:color="auto"/>
                                                    <w:left w:val="none" w:sz="0" w:space="0" w:color="auto"/>
                                                    <w:bottom w:val="none" w:sz="0" w:space="0" w:color="auto"/>
                                                    <w:right w:val="none" w:sz="0" w:space="0" w:color="auto"/>
                                                  </w:divBdr>
                                                  <w:divsChild>
                                                    <w:div w:id="13338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302">
                                              <w:marLeft w:val="0"/>
                                              <w:marRight w:val="0"/>
                                              <w:marTop w:val="0"/>
                                              <w:marBottom w:val="0"/>
                                              <w:divBdr>
                                                <w:top w:val="none" w:sz="0" w:space="0" w:color="auto"/>
                                                <w:left w:val="none" w:sz="0" w:space="0" w:color="auto"/>
                                                <w:bottom w:val="none" w:sz="0" w:space="0" w:color="auto"/>
                                                <w:right w:val="none" w:sz="0" w:space="0" w:color="auto"/>
                                              </w:divBdr>
                                              <w:divsChild>
                                                <w:div w:id="1058357555">
                                                  <w:marLeft w:val="0"/>
                                                  <w:marRight w:val="0"/>
                                                  <w:marTop w:val="0"/>
                                                  <w:marBottom w:val="0"/>
                                                  <w:divBdr>
                                                    <w:top w:val="none" w:sz="0" w:space="0" w:color="auto"/>
                                                    <w:left w:val="none" w:sz="0" w:space="0" w:color="auto"/>
                                                    <w:bottom w:val="none" w:sz="0" w:space="0" w:color="auto"/>
                                                    <w:right w:val="none" w:sz="0" w:space="0" w:color="auto"/>
                                                  </w:divBdr>
                                                </w:div>
                                              </w:divsChild>
                                            </w:div>
                                            <w:div w:id="969870535">
                                              <w:marLeft w:val="0"/>
                                              <w:marRight w:val="0"/>
                                              <w:marTop w:val="0"/>
                                              <w:marBottom w:val="0"/>
                                              <w:divBdr>
                                                <w:top w:val="none" w:sz="0" w:space="0" w:color="auto"/>
                                                <w:left w:val="none" w:sz="0" w:space="0" w:color="auto"/>
                                                <w:bottom w:val="none" w:sz="0" w:space="0" w:color="auto"/>
                                                <w:right w:val="none" w:sz="0" w:space="0" w:color="auto"/>
                                              </w:divBdr>
                                              <w:divsChild>
                                                <w:div w:id="1204832069">
                                                  <w:marLeft w:val="0"/>
                                                  <w:marRight w:val="0"/>
                                                  <w:marTop w:val="0"/>
                                                  <w:marBottom w:val="0"/>
                                                  <w:divBdr>
                                                    <w:top w:val="none" w:sz="0" w:space="0" w:color="auto"/>
                                                    <w:left w:val="none" w:sz="0" w:space="0" w:color="auto"/>
                                                    <w:bottom w:val="none" w:sz="0" w:space="0" w:color="auto"/>
                                                    <w:right w:val="none" w:sz="0" w:space="0" w:color="auto"/>
                                                  </w:divBdr>
                                                  <w:divsChild>
                                                    <w:div w:id="751926846">
                                                      <w:marLeft w:val="0"/>
                                                      <w:marRight w:val="0"/>
                                                      <w:marTop w:val="0"/>
                                                      <w:marBottom w:val="0"/>
                                                      <w:divBdr>
                                                        <w:top w:val="none" w:sz="0" w:space="0" w:color="auto"/>
                                                        <w:left w:val="none" w:sz="0" w:space="0" w:color="auto"/>
                                                        <w:bottom w:val="none" w:sz="0" w:space="0" w:color="auto"/>
                                                        <w:right w:val="none" w:sz="0" w:space="0" w:color="auto"/>
                                                      </w:divBdr>
                                                    </w:div>
                                                  </w:divsChild>
                                                </w:div>
                                                <w:div w:id="2022706254">
                                                  <w:marLeft w:val="0"/>
                                                  <w:marRight w:val="0"/>
                                                  <w:marTop w:val="0"/>
                                                  <w:marBottom w:val="0"/>
                                                  <w:divBdr>
                                                    <w:top w:val="none" w:sz="0" w:space="0" w:color="auto"/>
                                                    <w:left w:val="none" w:sz="0" w:space="0" w:color="auto"/>
                                                    <w:bottom w:val="none" w:sz="0" w:space="0" w:color="auto"/>
                                                    <w:right w:val="none" w:sz="0" w:space="0" w:color="auto"/>
                                                  </w:divBdr>
                                                  <w:divsChild>
                                                    <w:div w:id="1857186687">
                                                      <w:marLeft w:val="0"/>
                                                      <w:marRight w:val="0"/>
                                                      <w:marTop w:val="0"/>
                                                      <w:marBottom w:val="0"/>
                                                      <w:divBdr>
                                                        <w:top w:val="none" w:sz="0" w:space="0" w:color="auto"/>
                                                        <w:left w:val="none" w:sz="0" w:space="0" w:color="auto"/>
                                                        <w:bottom w:val="none" w:sz="0" w:space="0" w:color="auto"/>
                                                        <w:right w:val="none" w:sz="0" w:space="0" w:color="auto"/>
                                                      </w:divBdr>
                                                      <w:divsChild>
                                                        <w:div w:id="1333534004">
                                                          <w:marLeft w:val="0"/>
                                                          <w:marRight w:val="0"/>
                                                          <w:marTop w:val="0"/>
                                                          <w:marBottom w:val="0"/>
                                                          <w:divBdr>
                                                            <w:top w:val="none" w:sz="0" w:space="0" w:color="auto"/>
                                                            <w:left w:val="none" w:sz="0" w:space="0" w:color="auto"/>
                                                            <w:bottom w:val="none" w:sz="0" w:space="0" w:color="auto"/>
                                                            <w:right w:val="none" w:sz="0" w:space="0" w:color="auto"/>
                                                          </w:divBdr>
                                                        </w:div>
                                                      </w:divsChild>
                                                    </w:div>
                                                    <w:div w:id="52198785">
                                                      <w:marLeft w:val="0"/>
                                                      <w:marRight w:val="0"/>
                                                      <w:marTop w:val="0"/>
                                                      <w:marBottom w:val="0"/>
                                                      <w:divBdr>
                                                        <w:top w:val="none" w:sz="0" w:space="0" w:color="auto"/>
                                                        <w:left w:val="none" w:sz="0" w:space="0" w:color="auto"/>
                                                        <w:bottom w:val="none" w:sz="0" w:space="0" w:color="auto"/>
                                                        <w:right w:val="none" w:sz="0" w:space="0" w:color="auto"/>
                                                      </w:divBdr>
                                                      <w:divsChild>
                                                        <w:div w:id="46519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6123">
                                                  <w:marLeft w:val="0"/>
                                                  <w:marRight w:val="0"/>
                                                  <w:marTop w:val="0"/>
                                                  <w:marBottom w:val="0"/>
                                                  <w:divBdr>
                                                    <w:top w:val="none" w:sz="0" w:space="0" w:color="auto"/>
                                                    <w:left w:val="none" w:sz="0" w:space="0" w:color="auto"/>
                                                    <w:bottom w:val="none" w:sz="0" w:space="0" w:color="auto"/>
                                                    <w:right w:val="none" w:sz="0" w:space="0" w:color="auto"/>
                                                  </w:divBdr>
                                                  <w:divsChild>
                                                    <w:div w:id="314727415">
                                                      <w:marLeft w:val="0"/>
                                                      <w:marRight w:val="0"/>
                                                      <w:marTop w:val="0"/>
                                                      <w:marBottom w:val="0"/>
                                                      <w:divBdr>
                                                        <w:top w:val="none" w:sz="0" w:space="0" w:color="auto"/>
                                                        <w:left w:val="none" w:sz="0" w:space="0" w:color="auto"/>
                                                        <w:bottom w:val="none" w:sz="0" w:space="0" w:color="auto"/>
                                                        <w:right w:val="none" w:sz="0" w:space="0" w:color="auto"/>
                                                      </w:divBdr>
                                                    </w:div>
                                                  </w:divsChild>
                                                </w:div>
                                                <w:div w:id="1625186721">
                                                  <w:marLeft w:val="0"/>
                                                  <w:marRight w:val="0"/>
                                                  <w:marTop w:val="0"/>
                                                  <w:marBottom w:val="0"/>
                                                  <w:divBdr>
                                                    <w:top w:val="none" w:sz="0" w:space="0" w:color="auto"/>
                                                    <w:left w:val="none" w:sz="0" w:space="0" w:color="auto"/>
                                                    <w:bottom w:val="none" w:sz="0" w:space="0" w:color="auto"/>
                                                    <w:right w:val="none" w:sz="0" w:space="0" w:color="auto"/>
                                                  </w:divBdr>
                                                  <w:divsChild>
                                                    <w:div w:id="536891410">
                                                      <w:marLeft w:val="0"/>
                                                      <w:marRight w:val="0"/>
                                                      <w:marTop w:val="0"/>
                                                      <w:marBottom w:val="0"/>
                                                      <w:divBdr>
                                                        <w:top w:val="none" w:sz="0" w:space="0" w:color="auto"/>
                                                        <w:left w:val="none" w:sz="0" w:space="0" w:color="auto"/>
                                                        <w:bottom w:val="none" w:sz="0" w:space="0" w:color="auto"/>
                                                        <w:right w:val="none" w:sz="0" w:space="0" w:color="auto"/>
                                                      </w:divBdr>
                                                    </w:div>
                                                  </w:divsChild>
                                                </w:div>
                                                <w:div w:id="1563061845">
                                                  <w:marLeft w:val="0"/>
                                                  <w:marRight w:val="0"/>
                                                  <w:marTop w:val="0"/>
                                                  <w:marBottom w:val="0"/>
                                                  <w:divBdr>
                                                    <w:top w:val="none" w:sz="0" w:space="0" w:color="auto"/>
                                                    <w:left w:val="none" w:sz="0" w:space="0" w:color="auto"/>
                                                    <w:bottom w:val="none" w:sz="0" w:space="0" w:color="auto"/>
                                                    <w:right w:val="none" w:sz="0" w:space="0" w:color="auto"/>
                                                  </w:divBdr>
                                                  <w:divsChild>
                                                    <w:div w:id="261762727">
                                                      <w:marLeft w:val="0"/>
                                                      <w:marRight w:val="0"/>
                                                      <w:marTop w:val="0"/>
                                                      <w:marBottom w:val="0"/>
                                                      <w:divBdr>
                                                        <w:top w:val="none" w:sz="0" w:space="0" w:color="auto"/>
                                                        <w:left w:val="none" w:sz="0" w:space="0" w:color="auto"/>
                                                        <w:bottom w:val="none" w:sz="0" w:space="0" w:color="auto"/>
                                                        <w:right w:val="none" w:sz="0" w:space="0" w:color="auto"/>
                                                      </w:divBdr>
                                                    </w:div>
                                                  </w:divsChild>
                                                </w:div>
                                                <w:div w:id="1209953899">
                                                  <w:marLeft w:val="0"/>
                                                  <w:marRight w:val="0"/>
                                                  <w:marTop w:val="0"/>
                                                  <w:marBottom w:val="0"/>
                                                  <w:divBdr>
                                                    <w:top w:val="none" w:sz="0" w:space="0" w:color="auto"/>
                                                    <w:left w:val="none" w:sz="0" w:space="0" w:color="auto"/>
                                                    <w:bottom w:val="none" w:sz="0" w:space="0" w:color="auto"/>
                                                    <w:right w:val="none" w:sz="0" w:space="0" w:color="auto"/>
                                                  </w:divBdr>
                                                  <w:divsChild>
                                                    <w:div w:id="831993885">
                                                      <w:marLeft w:val="0"/>
                                                      <w:marRight w:val="0"/>
                                                      <w:marTop w:val="0"/>
                                                      <w:marBottom w:val="0"/>
                                                      <w:divBdr>
                                                        <w:top w:val="none" w:sz="0" w:space="0" w:color="auto"/>
                                                        <w:left w:val="none" w:sz="0" w:space="0" w:color="auto"/>
                                                        <w:bottom w:val="none" w:sz="0" w:space="0" w:color="auto"/>
                                                        <w:right w:val="none" w:sz="0" w:space="0" w:color="auto"/>
                                                      </w:divBdr>
                                                      <w:divsChild>
                                                        <w:div w:id="1220478077">
                                                          <w:marLeft w:val="0"/>
                                                          <w:marRight w:val="0"/>
                                                          <w:marTop w:val="0"/>
                                                          <w:marBottom w:val="0"/>
                                                          <w:divBdr>
                                                            <w:top w:val="none" w:sz="0" w:space="0" w:color="auto"/>
                                                            <w:left w:val="none" w:sz="0" w:space="0" w:color="auto"/>
                                                            <w:bottom w:val="none" w:sz="0" w:space="0" w:color="auto"/>
                                                            <w:right w:val="none" w:sz="0" w:space="0" w:color="auto"/>
                                                          </w:divBdr>
                                                        </w:div>
                                                      </w:divsChild>
                                                    </w:div>
                                                    <w:div w:id="1225875985">
                                                      <w:marLeft w:val="0"/>
                                                      <w:marRight w:val="0"/>
                                                      <w:marTop w:val="0"/>
                                                      <w:marBottom w:val="0"/>
                                                      <w:divBdr>
                                                        <w:top w:val="none" w:sz="0" w:space="0" w:color="auto"/>
                                                        <w:left w:val="none" w:sz="0" w:space="0" w:color="auto"/>
                                                        <w:bottom w:val="none" w:sz="0" w:space="0" w:color="auto"/>
                                                        <w:right w:val="none" w:sz="0" w:space="0" w:color="auto"/>
                                                      </w:divBdr>
                                                      <w:divsChild>
                                                        <w:div w:id="9631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23909">
                                              <w:marLeft w:val="0"/>
                                              <w:marRight w:val="0"/>
                                              <w:marTop w:val="0"/>
                                              <w:marBottom w:val="0"/>
                                              <w:divBdr>
                                                <w:top w:val="none" w:sz="0" w:space="0" w:color="auto"/>
                                                <w:left w:val="none" w:sz="0" w:space="0" w:color="auto"/>
                                                <w:bottom w:val="none" w:sz="0" w:space="0" w:color="auto"/>
                                                <w:right w:val="none" w:sz="0" w:space="0" w:color="auto"/>
                                              </w:divBdr>
                                              <w:divsChild>
                                                <w:div w:id="1393389978">
                                                  <w:marLeft w:val="0"/>
                                                  <w:marRight w:val="0"/>
                                                  <w:marTop w:val="0"/>
                                                  <w:marBottom w:val="0"/>
                                                  <w:divBdr>
                                                    <w:top w:val="none" w:sz="0" w:space="0" w:color="auto"/>
                                                    <w:left w:val="none" w:sz="0" w:space="0" w:color="auto"/>
                                                    <w:bottom w:val="none" w:sz="0" w:space="0" w:color="auto"/>
                                                    <w:right w:val="none" w:sz="0" w:space="0" w:color="auto"/>
                                                  </w:divBdr>
                                                  <w:divsChild>
                                                    <w:div w:id="1768426129">
                                                      <w:marLeft w:val="0"/>
                                                      <w:marRight w:val="0"/>
                                                      <w:marTop w:val="0"/>
                                                      <w:marBottom w:val="0"/>
                                                      <w:divBdr>
                                                        <w:top w:val="none" w:sz="0" w:space="0" w:color="auto"/>
                                                        <w:left w:val="none" w:sz="0" w:space="0" w:color="auto"/>
                                                        <w:bottom w:val="none" w:sz="0" w:space="0" w:color="auto"/>
                                                        <w:right w:val="none" w:sz="0" w:space="0" w:color="auto"/>
                                                      </w:divBdr>
                                                      <w:divsChild>
                                                        <w:div w:id="870384196">
                                                          <w:marLeft w:val="0"/>
                                                          <w:marRight w:val="0"/>
                                                          <w:marTop w:val="0"/>
                                                          <w:marBottom w:val="0"/>
                                                          <w:divBdr>
                                                            <w:top w:val="none" w:sz="0" w:space="0" w:color="auto"/>
                                                            <w:left w:val="none" w:sz="0" w:space="0" w:color="auto"/>
                                                            <w:bottom w:val="none" w:sz="0" w:space="0" w:color="auto"/>
                                                            <w:right w:val="none" w:sz="0" w:space="0" w:color="auto"/>
                                                          </w:divBdr>
                                                        </w:div>
                                                      </w:divsChild>
                                                    </w:div>
                                                    <w:div w:id="1766685900">
                                                      <w:marLeft w:val="0"/>
                                                      <w:marRight w:val="0"/>
                                                      <w:marTop w:val="0"/>
                                                      <w:marBottom w:val="0"/>
                                                      <w:divBdr>
                                                        <w:top w:val="none" w:sz="0" w:space="0" w:color="auto"/>
                                                        <w:left w:val="none" w:sz="0" w:space="0" w:color="auto"/>
                                                        <w:bottom w:val="none" w:sz="0" w:space="0" w:color="auto"/>
                                                        <w:right w:val="none" w:sz="0" w:space="0" w:color="auto"/>
                                                      </w:divBdr>
                                                      <w:divsChild>
                                                        <w:div w:id="17919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12151">
                                                  <w:marLeft w:val="0"/>
                                                  <w:marRight w:val="0"/>
                                                  <w:marTop w:val="0"/>
                                                  <w:marBottom w:val="0"/>
                                                  <w:divBdr>
                                                    <w:top w:val="none" w:sz="0" w:space="0" w:color="auto"/>
                                                    <w:left w:val="none" w:sz="0" w:space="0" w:color="auto"/>
                                                    <w:bottom w:val="none" w:sz="0" w:space="0" w:color="auto"/>
                                                    <w:right w:val="none" w:sz="0" w:space="0" w:color="auto"/>
                                                  </w:divBdr>
                                                  <w:divsChild>
                                                    <w:div w:id="1762527208">
                                                      <w:marLeft w:val="0"/>
                                                      <w:marRight w:val="0"/>
                                                      <w:marTop w:val="0"/>
                                                      <w:marBottom w:val="0"/>
                                                      <w:divBdr>
                                                        <w:top w:val="none" w:sz="0" w:space="0" w:color="auto"/>
                                                        <w:left w:val="none" w:sz="0" w:space="0" w:color="auto"/>
                                                        <w:bottom w:val="none" w:sz="0" w:space="0" w:color="auto"/>
                                                        <w:right w:val="none" w:sz="0" w:space="0" w:color="auto"/>
                                                      </w:divBdr>
                                                      <w:divsChild>
                                                        <w:div w:id="1475951720">
                                                          <w:marLeft w:val="0"/>
                                                          <w:marRight w:val="0"/>
                                                          <w:marTop w:val="0"/>
                                                          <w:marBottom w:val="0"/>
                                                          <w:divBdr>
                                                            <w:top w:val="none" w:sz="0" w:space="0" w:color="auto"/>
                                                            <w:left w:val="none" w:sz="0" w:space="0" w:color="auto"/>
                                                            <w:bottom w:val="none" w:sz="0" w:space="0" w:color="auto"/>
                                                            <w:right w:val="none" w:sz="0" w:space="0" w:color="auto"/>
                                                          </w:divBdr>
                                                        </w:div>
                                                      </w:divsChild>
                                                    </w:div>
                                                    <w:div w:id="1000693331">
                                                      <w:marLeft w:val="0"/>
                                                      <w:marRight w:val="0"/>
                                                      <w:marTop w:val="0"/>
                                                      <w:marBottom w:val="0"/>
                                                      <w:divBdr>
                                                        <w:top w:val="none" w:sz="0" w:space="0" w:color="auto"/>
                                                        <w:left w:val="none" w:sz="0" w:space="0" w:color="auto"/>
                                                        <w:bottom w:val="none" w:sz="0" w:space="0" w:color="auto"/>
                                                        <w:right w:val="none" w:sz="0" w:space="0" w:color="auto"/>
                                                      </w:divBdr>
                                                      <w:divsChild>
                                                        <w:div w:id="1686055020">
                                                          <w:marLeft w:val="0"/>
                                                          <w:marRight w:val="0"/>
                                                          <w:marTop w:val="0"/>
                                                          <w:marBottom w:val="0"/>
                                                          <w:divBdr>
                                                            <w:top w:val="none" w:sz="0" w:space="0" w:color="auto"/>
                                                            <w:left w:val="none" w:sz="0" w:space="0" w:color="auto"/>
                                                            <w:bottom w:val="none" w:sz="0" w:space="0" w:color="auto"/>
                                                            <w:right w:val="none" w:sz="0" w:space="0" w:color="auto"/>
                                                          </w:divBdr>
                                                        </w:div>
                                                      </w:divsChild>
                                                    </w:div>
                                                    <w:div w:id="1097022479">
                                                      <w:marLeft w:val="0"/>
                                                      <w:marRight w:val="0"/>
                                                      <w:marTop w:val="0"/>
                                                      <w:marBottom w:val="0"/>
                                                      <w:divBdr>
                                                        <w:top w:val="none" w:sz="0" w:space="0" w:color="auto"/>
                                                        <w:left w:val="none" w:sz="0" w:space="0" w:color="auto"/>
                                                        <w:bottom w:val="none" w:sz="0" w:space="0" w:color="auto"/>
                                                        <w:right w:val="none" w:sz="0" w:space="0" w:color="auto"/>
                                                      </w:divBdr>
                                                    </w:div>
                                                  </w:divsChild>
                                                </w:div>
                                                <w:div w:id="904992619">
                                                  <w:marLeft w:val="0"/>
                                                  <w:marRight w:val="0"/>
                                                  <w:marTop w:val="0"/>
                                                  <w:marBottom w:val="0"/>
                                                  <w:divBdr>
                                                    <w:top w:val="none" w:sz="0" w:space="0" w:color="auto"/>
                                                    <w:left w:val="none" w:sz="0" w:space="0" w:color="auto"/>
                                                    <w:bottom w:val="none" w:sz="0" w:space="0" w:color="auto"/>
                                                    <w:right w:val="none" w:sz="0" w:space="0" w:color="auto"/>
                                                  </w:divBdr>
                                                  <w:divsChild>
                                                    <w:div w:id="212892042">
                                                      <w:marLeft w:val="0"/>
                                                      <w:marRight w:val="0"/>
                                                      <w:marTop w:val="0"/>
                                                      <w:marBottom w:val="0"/>
                                                      <w:divBdr>
                                                        <w:top w:val="none" w:sz="0" w:space="0" w:color="auto"/>
                                                        <w:left w:val="none" w:sz="0" w:space="0" w:color="auto"/>
                                                        <w:bottom w:val="none" w:sz="0" w:space="0" w:color="auto"/>
                                                        <w:right w:val="none" w:sz="0" w:space="0" w:color="auto"/>
                                                      </w:divBdr>
                                                      <w:divsChild>
                                                        <w:div w:id="1300648652">
                                                          <w:marLeft w:val="0"/>
                                                          <w:marRight w:val="0"/>
                                                          <w:marTop w:val="0"/>
                                                          <w:marBottom w:val="0"/>
                                                          <w:divBdr>
                                                            <w:top w:val="none" w:sz="0" w:space="0" w:color="auto"/>
                                                            <w:left w:val="none" w:sz="0" w:space="0" w:color="auto"/>
                                                            <w:bottom w:val="none" w:sz="0" w:space="0" w:color="auto"/>
                                                            <w:right w:val="none" w:sz="0" w:space="0" w:color="auto"/>
                                                          </w:divBdr>
                                                        </w:div>
                                                      </w:divsChild>
                                                    </w:div>
                                                    <w:div w:id="665399868">
                                                      <w:marLeft w:val="0"/>
                                                      <w:marRight w:val="0"/>
                                                      <w:marTop w:val="0"/>
                                                      <w:marBottom w:val="0"/>
                                                      <w:divBdr>
                                                        <w:top w:val="none" w:sz="0" w:space="0" w:color="auto"/>
                                                        <w:left w:val="none" w:sz="0" w:space="0" w:color="auto"/>
                                                        <w:bottom w:val="none" w:sz="0" w:space="0" w:color="auto"/>
                                                        <w:right w:val="none" w:sz="0" w:space="0" w:color="auto"/>
                                                      </w:divBdr>
                                                      <w:divsChild>
                                                        <w:div w:id="118686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9427">
                                              <w:marLeft w:val="0"/>
                                              <w:marRight w:val="0"/>
                                              <w:marTop w:val="0"/>
                                              <w:marBottom w:val="0"/>
                                              <w:divBdr>
                                                <w:top w:val="none" w:sz="0" w:space="0" w:color="auto"/>
                                                <w:left w:val="none" w:sz="0" w:space="0" w:color="auto"/>
                                                <w:bottom w:val="none" w:sz="0" w:space="0" w:color="auto"/>
                                                <w:right w:val="none" w:sz="0" w:space="0" w:color="auto"/>
                                              </w:divBdr>
                                              <w:divsChild>
                                                <w:div w:id="1896818469">
                                                  <w:marLeft w:val="0"/>
                                                  <w:marRight w:val="0"/>
                                                  <w:marTop w:val="0"/>
                                                  <w:marBottom w:val="0"/>
                                                  <w:divBdr>
                                                    <w:top w:val="none" w:sz="0" w:space="0" w:color="auto"/>
                                                    <w:left w:val="none" w:sz="0" w:space="0" w:color="auto"/>
                                                    <w:bottom w:val="none" w:sz="0" w:space="0" w:color="auto"/>
                                                    <w:right w:val="none" w:sz="0" w:space="0" w:color="auto"/>
                                                  </w:divBdr>
                                                  <w:divsChild>
                                                    <w:div w:id="1409419798">
                                                      <w:marLeft w:val="0"/>
                                                      <w:marRight w:val="0"/>
                                                      <w:marTop w:val="0"/>
                                                      <w:marBottom w:val="0"/>
                                                      <w:divBdr>
                                                        <w:top w:val="none" w:sz="0" w:space="0" w:color="auto"/>
                                                        <w:left w:val="none" w:sz="0" w:space="0" w:color="auto"/>
                                                        <w:bottom w:val="none" w:sz="0" w:space="0" w:color="auto"/>
                                                        <w:right w:val="none" w:sz="0" w:space="0" w:color="auto"/>
                                                      </w:divBdr>
                                                      <w:divsChild>
                                                        <w:div w:id="453406209">
                                                          <w:marLeft w:val="0"/>
                                                          <w:marRight w:val="0"/>
                                                          <w:marTop w:val="0"/>
                                                          <w:marBottom w:val="0"/>
                                                          <w:divBdr>
                                                            <w:top w:val="none" w:sz="0" w:space="0" w:color="auto"/>
                                                            <w:left w:val="none" w:sz="0" w:space="0" w:color="auto"/>
                                                            <w:bottom w:val="none" w:sz="0" w:space="0" w:color="auto"/>
                                                            <w:right w:val="none" w:sz="0" w:space="0" w:color="auto"/>
                                                          </w:divBdr>
                                                        </w:div>
                                                      </w:divsChild>
                                                    </w:div>
                                                    <w:div w:id="1238133074">
                                                      <w:marLeft w:val="0"/>
                                                      <w:marRight w:val="0"/>
                                                      <w:marTop w:val="0"/>
                                                      <w:marBottom w:val="0"/>
                                                      <w:divBdr>
                                                        <w:top w:val="none" w:sz="0" w:space="0" w:color="auto"/>
                                                        <w:left w:val="none" w:sz="0" w:space="0" w:color="auto"/>
                                                        <w:bottom w:val="none" w:sz="0" w:space="0" w:color="auto"/>
                                                        <w:right w:val="none" w:sz="0" w:space="0" w:color="auto"/>
                                                      </w:divBdr>
                                                      <w:divsChild>
                                                        <w:div w:id="2034727379">
                                                          <w:marLeft w:val="0"/>
                                                          <w:marRight w:val="0"/>
                                                          <w:marTop w:val="0"/>
                                                          <w:marBottom w:val="0"/>
                                                          <w:divBdr>
                                                            <w:top w:val="none" w:sz="0" w:space="0" w:color="auto"/>
                                                            <w:left w:val="none" w:sz="0" w:space="0" w:color="auto"/>
                                                            <w:bottom w:val="none" w:sz="0" w:space="0" w:color="auto"/>
                                                            <w:right w:val="none" w:sz="0" w:space="0" w:color="auto"/>
                                                          </w:divBdr>
                                                        </w:div>
                                                      </w:divsChild>
                                                    </w:div>
                                                    <w:div w:id="408307410">
                                                      <w:marLeft w:val="0"/>
                                                      <w:marRight w:val="0"/>
                                                      <w:marTop w:val="0"/>
                                                      <w:marBottom w:val="0"/>
                                                      <w:divBdr>
                                                        <w:top w:val="none" w:sz="0" w:space="0" w:color="auto"/>
                                                        <w:left w:val="none" w:sz="0" w:space="0" w:color="auto"/>
                                                        <w:bottom w:val="none" w:sz="0" w:space="0" w:color="auto"/>
                                                        <w:right w:val="none" w:sz="0" w:space="0" w:color="auto"/>
                                                      </w:divBdr>
                                                    </w:div>
                                                  </w:divsChild>
                                                </w:div>
                                                <w:div w:id="1650086869">
                                                  <w:marLeft w:val="0"/>
                                                  <w:marRight w:val="0"/>
                                                  <w:marTop w:val="0"/>
                                                  <w:marBottom w:val="0"/>
                                                  <w:divBdr>
                                                    <w:top w:val="none" w:sz="0" w:space="0" w:color="auto"/>
                                                    <w:left w:val="none" w:sz="0" w:space="0" w:color="auto"/>
                                                    <w:bottom w:val="none" w:sz="0" w:space="0" w:color="auto"/>
                                                    <w:right w:val="none" w:sz="0" w:space="0" w:color="auto"/>
                                                  </w:divBdr>
                                                  <w:divsChild>
                                                    <w:div w:id="1341082895">
                                                      <w:marLeft w:val="0"/>
                                                      <w:marRight w:val="0"/>
                                                      <w:marTop w:val="0"/>
                                                      <w:marBottom w:val="0"/>
                                                      <w:divBdr>
                                                        <w:top w:val="none" w:sz="0" w:space="0" w:color="auto"/>
                                                        <w:left w:val="none" w:sz="0" w:space="0" w:color="auto"/>
                                                        <w:bottom w:val="none" w:sz="0" w:space="0" w:color="auto"/>
                                                        <w:right w:val="none" w:sz="0" w:space="0" w:color="auto"/>
                                                      </w:divBdr>
                                                      <w:divsChild>
                                                        <w:div w:id="931473026">
                                                          <w:marLeft w:val="0"/>
                                                          <w:marRight w:val="0"/>
                                                          <w:marTop w:val="0"/>
                                                          <w:marBottom w:val="0"/>
                                                          <w:divBdr>
                                                            <w:top w:val="none" w:sz="0" w:space="0" w:color="auto"/>
                                                            <w:left w:val="none" w:sz="0" w:space="0" w:color="auto"/>
                                                            <w:bottom w:val="none" w:sz="0" w:space="0" w:color="auto"/>
                                                            <w:right w:val="none" w:sz="0" w:space="0" w:color="auto"/>
                                                          </w:divBdr>
                                                        </w:div>
                                                      </w:divsChild>
                                                    </w:div>
                                                    <w:div w:id="715814194">
                                                      <w:marLeft w:val="0"/>
                                                      <w:marRight w:val="0"/>
                                                      <w:marTop w:val="0"/>
                                                      <w:marBottom w:val="0"/>
                                                      <w:divBdr>
                                                        <w:top w:val="none" w:sz="0" w:space="0" w:color="auto"/>
                                                        <w:left w:val="none" w:sz="0" w:space="0" w:color="auto"/>
                                                        <w:bottom w:val="none" w:sz="0" w:space="0" w:color="auto"/>
                                                        <w:right w:val="none" w:sz="0" w:space="0" w:color="auto"/>
                                                      </w:divBdr>
                                                      <w:divsChild>
                                                        <w:div w:id="1101031321">
                                                          <w:marLeft w:val="0"/>
                                                          <w:marRight w:val="0"/>
                                                          <w:marTop w:val="0"/>
                                                          <w:marBottom w:val="0"/>
                                                          <w:divBdr>
                                                            <w:top w:val="none" w:sz="0" w:space="0" w:color="auto"/>
                                                            <w:left w:val="none" w:sz="0" w:space="0" w:color="auto"/>
                                                            <w:bottom w:val="none" w:sz="0" w:space="0" w:color="auto"/>
                                                            <w:right w:val="none" w:sz="0" w:space="0" w:color="auto"/>
                                                          </w:divBdr>
                                                          <w:divsChild>
                                                            <w:div w:id="1734616298">
                                                              <w:marLeft w:val="0"/>
                                                              <w:marRight w:val="0"/>
                                                              <w:marTop w:val="0"/>
                                                              <w:marBottom w:val="0"/>
                                                              <w:divBdr>
                                                                <w:top w:val="none" w:sz="0" w:space="0" w:color="auto"/>
                                                                <w:left w:val="none" w:sz="0" w:space="0" w:color="auto"/>
                                                                <w:bottom w:val="none" w:sz="0" w:space="0" w:color="auto"/>
                                                                <w:right w:val="none" w:sz="0" w:space="0" w:color="auto"/>
                                                              </w:divBdr>
                                                            </w:div>
                                                          </w:divsChild>
                                                        </w:div>
                                                        <w:div w:id="1034429173">
                                                          <w:marLeft w:val="0"/>
                                                          <w:marRight w:val="0"/>
                                                          <w:marTop w:val="0"/>
                                                          <w:marBottom w:val="0"/>
                                                          <w:divBdr>
                                                            <w:top w:val="none" w:sz="0" w:space="0" w:color="auto"/>
                                                            <w:left w:val="none" w:sz="0" w:space="0" w:color="auto"/>
                                                            <w:bottom w:val="none" w:sz="0" w:space="0" w:color="auto"/>
                                                            <w:right w:val="none" w:sz="0" w:space="0" w:color="auto"/>
                                                          </w:divBdr>
                                                          <w:divsChild>
                                                            <w:div w:id="1691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9991">
                                                      <w:marLeft w:val="0"/>
                                                      <w:marRight w:val="0"/>
                                                      <w:marTop w:val="0"/>
                                                      <w:marBottom w:val="0"/>
                                                      <w:divBdr>
                                                        <w:top w:val="none" w:sz="0" w:space="0" w:color="auto"/>
                                                        <w:left w:val="none" w:sz="0" w:space="0" w:color="auto"/>
                                                        <w:bottom w:val="none" w:sz="0" w:space="0" w:color="auto"/>
                                                        <w:right w:val="none" w:sz="0" w:space="0" w:color="auto"/>
                                                      </w:divBdr>
                                                      <w:divsChild>
                                                        <w:div w:id="7294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4726">
                                                  <w:marLeft w:val="0"/>
                                                  <w:marRight w:val="0"/>
                                                  <w:marTop w:val="0"/>
                                                  <w:marBottom w:val="0"/>
                                                  <w:divBdr>
                                                    <w:top w:val="none" w:sz="0" w:space="0" w:color="auto"/>
                                                    <w:left w:val="none" w:sz="0" w:space="0" w:color="auto"/>
                                                    <w:bottom w:val="none" w:sz="0" w:space="0" w:color="auto"/>
                                                    <w:right w:val="none" w:sz="0" w:space="0" w:color="auto"/>
                                                  </w:divBdr>
                                                  <w:divsChild>
                                                    <w:div w:id="1046954720">
                                                      <w:marLeft w:val="0"/>
                                                      <w:marRight w:val="0"/>
                                                      <w:marTop w:val="0"/>
                                                      <w:marBottom w:val="0"/>
                                                      <w:divBdr>
                                                        <w:top w:val="none" w:sz="0" w:space="0" w:color="auto"/>
                                                        <w:left w:val="none" w:sz="0" w:space="0" w:color="auto"/>
                                                        <w:bottom w:val="none" w:sz="0" w:space="0" w:color="auto"/>
                                                        <w:right w:val="none" w:sz="0" w:space="0" w:color="auto"/>
                                                      </w:divBdr>
                                                    </w:div>
                                                  </w:divsChild>
                                                </w:div>
                                                <w:div w:id="2144081977">
                                                  <w:marLeft w:val="0"/>
                                                  <w:marRight w:val="0"/>
                                                  <w:marTop w:val="0"/>
                                                  <w:marBottom w:val="0"/>
                                                  <w:divBdr>
                                                    <w:top w:val="none" w:sz="0" w:space="0" w:color="auto"/>
                                                    <w:left w:val="none" w:sz="0" w:space="0" w:color="auto"/>
                                                    <w:bottom w:val="none" w:sz="0" w:space="0" w:color="auto"/>
                                                    <w:right w:val="none" w:sz="0" w:space="0" w:color="auto"/>
                                                  </w:divBdr>
                                                  <w:divsChild>
                                                    <w:div w:id="1302689230">
                                                      <w:marLeft w:val="0"/>
                                                      <w:marRight w:val="0"/>
                                                      <w:marTop w:val="0"/>
                                                      <w:marBottom w:val="0"/>
                                                      <w:divBdr>
                                                        <w:top w:val="none" w:sz="0" w:space="0" w:color="auto"/>
                                                        <w:left w:val="none" w:sz="0" w:space="0" w:color="auto"/>
                                                        <w:bottom w:val="none" w:sz="0" w:space="0" w:color="auto"/>
                                                        <w:right w:val="none" w:sz="0" w:space="0" w:color="auto"/>
                                                      </w:divBdr>
                                                      <w:divsChild>
                                                        <w:div w:id="1693409102">
                                                          <w:marLeft w:val="0"/>
                                                          <w:marRight w:val="0"/>
                                                          <w:marTop w:val="0"/>
                                                          <w:marBottom w:val="0"/>
                                                          <w:divBdr>
                                                            <w:top w:val="none" w:sz="0" w:space="0" w:color="auto"/>
                                                            <w:left w:val="none" w:sz="0" w:space="0" w:color="auto"/>
                                                            <w:bottom w:val="none" w:sz="0" w:space="0" w:color="auto"/>
                                                            <w:right w:val="none" w:sz="0" w:space="0" w:color="auto"/>
                                                          </w:divBdr>
                                                        </w:div>
                                                      </w:divsChild>
                                                    </w:div>
                                                    <w:div w:id="1016227287">
                                                      <w:marLeft w:val="0"/>
                                                      <w:marRight w:val="0"/>
                                                      <w:marTop w:val="0"/>
                                                      <w:marBottom w:val="0"/>
                                                      <w:divBdr>
                                                        <w:top w:val="none" w:sz="0" w:space="0" w:color="auto"/>
                                                        <w:left w:val="none" w:sz="0" w:space="0" w:color="auto"/>
                                                        <w:bottom w:val="none" w:sz="0" w:space="0" w:color="auto"/>
                                                        <w:right w:val="none" w:sz="0" w:space="0" w:color="auto"/>
                                                      </w:divBdr>
                                                      <w:divsChild>
                                                        <w:div w:id="1983535183">
                                                          <w:marLeft w:val="0"/>
                                                          <w:marRight w:val="0"/>
                                                          <w:marTop w:val="0"/>
                                                          <w:marBottom w:val="0"/>
                                                          <w:divBdr>
                                                            <w:top w:val="none" w:sz="0" w:space="0" w:color="auto"/>
                                                            <w:left w:val="none" w:sz="0" w:space="0" w:color="auto"/>
                                                            <w:bottom w:val="none" w:sz="0" w:space="0" w:color="auto"/>
                                                            <w:right w:val="none" w:sz="0" w:space="0" w:color="auto"/>
                                                          </w:divBdr>
                                                          <w:divsChild>
                                                            <w:div w:id="1591364">
                                                              <w:marLeft w:val="0"/>
                                                              <w:marRight w:val="0"/>
                                                              <w:marTop w:val="0"/>
                                                              <w:marBottom w:val="0"/>
                                                              <w:divBdr>
                                                                <w:top w:val="none" w:sz="0" w:space="0" w:color="auto"/>
                                                                <w:left w:val="none" w:sz="0" w:space="0" w:color="auto"/>
                                                                <w:bottom w:val="none" w:sz="0" w:space="0" w:color="auto"/>
                                                                <w:right w:val="none" w:sz="0" w:space="0" w:color="auto"/>
                                                              </w:divBdr>
                                                            </w:div>
                                                          </w:divsChild>
                                                        </w:div>
                                                        <w:div w:id="1201749568">
                                                          <w:marLeft w:val="0"/>
                                                          <w:marRight w:val="0"/>
                                                          <w:marTop w:val="0"/>
                                                          <w:marBottom w:val="0"/>
                                                          <w:divBdr>
                                                            <w:top w:val="none" w:sz="0" w:space="0" w:color="auto"/>
                                                            <w:left w:val="none" w:sz="0" w:space="0" w:color="auto"/>
                                                            <w:bottom w:val="none" w:sz="0" w:space="0" w:color="auto"/>
                                                            <w:right w:val="none" w:sz="0" w:space="0" w:color="auto"/>
                                                          </w:divBdr>
                                                          <w:divsChild>
                                                            <w:div w:id="5022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43093">
                                              <w:marLeft w:val="0"/>
                                              <w:marRight w:val="0"/>
                                              <w:marTop w:val="0"/>
                                              <w:marBottom w:val="0"/>
                                              <w:divBdr>
                                                <w:top w:val="none" w:sz="0" w:space="0" w:color="auto"/>
                                                <w:left w:val="none" w:sz="0" w:space="0" w:color="auto"/>
                                                <w:bottom w:val="none" w:sz="0" w:space="0" w:color="auto"/>
                                                <w:right w:val="none" w:sz="0" w:space="0" w:color="auto"/>
                                              </w:divBdr>
                                              <w:divsChild>
                                                <w:div w:id="1463622233">
                                                  <w:marLeft w:val="0"/>
                                                  <w:marRight w:val="0"/>
                                                  <w:marTop w:val="0"/>
                                                  <w:marBottom w:val="0"/>
                                                  <w:divBdr>
                                                    <w:top w:val="none" w:sz="0" w:space="0" w:color="auto"/>
                                                    <w:left w:val="none" w:sz="0" w:space="0" w:color="auto"/>
                                                    <w:bottom w:val="none" w:sz="0" w:space="0" w:color="auto"/>
                                                    <w:right w:val="none" w:sz="0" w:space="0" w:color="auto"/>
                                                  </w:divBdr>
                                                </w:div>
                                              </w:divsChild>
                                            </w:div>
                                            <w:div w:id="924345083">
                                              <w:marLeft w:val="0"/>
                                              <w:marRight w:val="0"/>
                                              <w:marTop w:val="0"/>
                                              <w:marBottom w:val="0"/>
                                              <w:divBdr>
                                                <w:top w:val="none" w:sz="0" w:space="0" w:color="auto"/>
                                                <w:left w:val="none" w:sz="0" w:space="0" w:color="auto"/>
                                                <w:bottom w:val="none" w:sz="0" w:space="0" w:color="auto"/>
                                                <w:right w:val="none" w:sz="0" w:space="0" w:color="auto"/>
                                              </w:divBdr>
                                              <w:divsChild>
                                                <w:div w:id="1499688193">
                                                  <w:marLeft w:val="0"/>
                                                  <w:marRight w:val="0"/>
                                                  <w:marTop w:val="0"/>
                                                  <w:marBottom w:val="0"/>
                                                  <w:divBdr>
                                                    <w:top w:val="none" w:sz="0" w:space="0" w:color="auto"/>
                                                    <w:left w:val="none" w:sz="0" w:space="0" w:color="auto"/>
                                                    <w:bottom w:val="none" w:sz="0" w:space="0" w:color="auto"/>
                                                    <w:right w:val="none" w:sz="0" w:space="0" w:color="auto"/>
                                                  </w:divBdr>
                                                  <w:divsChild>
                                                    <w:div w:id="2086145374">
                                                      <w:marLeft w:val="0"/>
                                                      <w:marRight w:val="0"/>
                                                      <w:marTop w:val="0"/>
                                                      <w:marBottom w:val="0"/>
                                                      <w:divBdr>
                                                        <w:top w:val="none" w:sz="0" w:space="0" w:color="auto"/>
                                                        <w:left w:val="none" w:sz="0" w:space="0" w:color="auto"/>
                                                        <w:bottom w:val="none" w:sz="0" w:space="0" w:color="auto"/>
                                                        <w:right w:val="none" w:sz="0" w:space="0" w:color="auto"/>
                                                      </w:divBdr>
                                                    </w:div>
                                                  </w:divsChild>
                                                </w:div>
                                                <w:div w:id="1576237916">
                                                  <w:marLeft w:val="0"/>
                                                  <w:marRight w:val="0"/>
                                                  <w:marTop w:val="0"/>
                                                  <w:marBottom w:val="0"/>
                                                  <w:divBdr>
                                                    <w:top w:val="none" w:sz="0" w:space="0" w:color="auto"/>
                                                    <w:left w:val="none" w:sz="0" w:space="0" w:color="auto"/>
                                                    <w:bottom w:val="none" w:sz="0" w:space="0" w:color="auto"/>
                                                    <w:right w:val="none" w:sz="0" w:space="0" w:color="auto"/>
                                                  </w:divBdr>
                                                  <w:divsChild>
                                                    <w:div w:id="20268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462629">
      <w:bodyDiv w:val="1"/>
      <w:marLeft w:val="0"/>
      <w:marRight w:val="0"/>
      <w:marTop w:val="0"/>
      <w:marBottom w:val="0"/>
      <w:divBdr>
        <w:top w:val="none" w:sz="0" w:space="0" w:color="auto"/>
        <w:left w:val="none" w:sz="0" w:space="0" w:color="auto"/>
        <w:bottom w:val="none" w:sz="0" w:space="0" w:color="auto"/>
        <w:right w:val="none" w:sz="0" w:space="0" w:color="auto"/>
      </w:divBdr>
      <w:divsChild>
        <w:div w:id="476651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727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8061-5318-4EC2-9394-6E7B9860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48</Pages>
  <Words>19821</Words>
  <Characters>112985</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
    </vt:vector>
  </TitlesOfParts>
  <Company>PSU Dickinson School of Law</Company>
  <LinksUpToDate>false</LinksUpToDate>
  <CharactersWithSpaces>132541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Samuel</dc:creator>
  <cp:lastModifiedBy>Thompson, Samuel</cp:lastModifiedBy>
  <cp:revision>14</cp:revision>
  <cp:lastPrinted>2016-04-25T15:43:00Z</cp:lastPrinted>
  <dcterms:created xsi:type="dcterms:W3CDTF">2016-04-26T21:12:00Z</dcterms:created>
  <dcterms:modified xsi:type="dcterms:W3CDTF">2016-04-27T15:14:00Z</dcterms:modified>
</cp:coreProperties>
</file>